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E69A9">
      <w:pPr>
        <w:pStyle w:val="Heading1"/>
        <w:widowControl/>
        <w:jc w:val="center"/>
        <w:rPr>
          <w:b w:val="0"/>
          <w:sz w:val="24"/>
        </w:rPr>
      </w:pPr>
      <w:bookmarkStart w:id="0" w:name="_GoBack"/>
      <w:bookmarkEnd w:id="0"/>
      <w:r>
        <w:rPr>
          <w:b w:val="0"/>
          <w:smallCaps/>
          <w:sz w:val="24"/>
        </w:rPr>
        <w:t>Member Information for Proposed Business Expansion</w:t>
      </w:r>
    </w:p>
    <w:p w:rsidR="00000000" w:rsidRDefault="008E69A9">
      <w:pPr>
        <w:pStyle w:val="Heading3"/>
        <w:rPr>
          <w:sz w:val="28"/>
        </w:rPr>
      </w:pPr>
      <w:r>
        <w:rPr>
          <w:sz w:val="28"/>
        </w:rPr>
        <w:t xml:space="preserve">GOVERNMENT SECURITIES </w:t>
      </w:r>
    </w:p>
    <w:p w:rsidR="00000000" w:rsidRDefault="008E69A9" w:rsidP="00FB4610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jc w:val="center"/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8E69A9" w:rsidP="00FB4610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8E69A9" w:rsidP="00FB4610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Member Firm: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8E69A9" w:rsidP="00FB4610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8E69A9" w:rsidP="00FB4610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Contact Person: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</w:t>
            </w:r>
            <w:r>
              <w:rPr>
                <w:rFonts w:ascii="Arial" w:hAnsi="Arial"/>
              </w:rPr>
              <w:t>__</w:t>
            </w:r>
          </w:p>
          <w:p w:rsidR="00000000" w:rsidRDefault="008E69A9" w:rsidP="00FB4610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8E69A9" w:rsidP="00FB4610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8E69A9" w:rsidP="00FB4610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8E69A9" w:rsidP="00FB4610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8E69A9" w:rsidP="00FB4610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8E69A9" w:rsidP="00FB4610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 of Person </w:t>
            </w:r>
          </w:p>
          <w:p w:rsidR="00000000" w:rsidRDefault="008E69A9" w:rsidP="00FB4610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Completing This Form: </w:t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8E69A9" w:rsidP="00FB4610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</w:tc>
      </w:tr>
    </w:tbl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8E69A9" w:rsidP="00FB4610">
      <w:pPr>
        <w:pStyle w:val="ListBullet"/>
        <w:widowControl/>
        <w:numPr>
          <w:ilvl w:val="0"/>
          <w:numId w:val="1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The types of government securities which the firm intends to buy or sell are (check all that apply):</w:t>
      </w:r>
    </w:p>
    <w:p w:rsidR="00000000" w:rsidRDefault="008E69A9" w:rsidP="00FB4610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1440" w:hanging="360"/>
        <w:rPr>
          <w:rFonts w:ascii="Arial" w:hAnsi="Arial"/>
        </w:rPr>
      </w:pPr>
    </w:p>
    <w:p w:rsidR="00000000" w:rsidRDefault="008E69A9" w:rsidP="00FB4610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Treasuries</w:t>
      </w:r>
      <w:r>
        <w:rPr>
          <w:rFonts w:ascii="Arial" w:hAnsi="Arial"/>
        </w:rPr>
        <w:tab/>
        <w:t xml:space="preserve">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ab/>
      </w:r>
    </w:p>
    <w:p w:rsidR="00000000" w:rsidRDefault="008E69A9" w:rsidP="00FB4610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Money Market Instruments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E69A9" w:rsidP="00FB4610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Derivatives of Government Securities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  </w:t>
      </w:r>
    </w:p>
    <w:p w:rsidR="00000000" w:rsidRDefault="008E69A9" w:rsidP="00FB4610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Government Agency REMIC’s/CMO’s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E69A9" w:rsidP="00FB4610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Repo/Reverse Repo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E69A9" w:rsidP="00FB4610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Government Agency MBS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E69A9" w:rsidP="00FB4610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Government Agency Debentures/Notes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E69A9" w:rsidP="00FB4610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Ot</w:t>
      </w:r>
      <w:r>
        <w:rPr>
          <w:rFonts w:ascii="Arial" w:hAnsi="Arial"/>
        </w:rPr>
        <w:t xml:space="preserve">her </w:t>
      </w:r>
      <w:r>
        <w:rPr>
          <w:rFonts w:ascii="Arial" w:hAnsi="Arial"/>
          <w:i/>
        </w:rPr>
        <w:t>(Attach description)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8E69A9" w:rsidP="00FB4610">
      <w:pPr>
        <w:pStyle w:val="ListBullet"/>
        <w:widowControl/>
        <w:numPr>
          <w:ilvl w:val="0"/>
          <w:numId w:val="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In what capacity will the firm act with respect to transactions in government securities (check all that apply): </w:t>
      </w:r>
    </w:p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Principal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Agent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If engaging in principal transactions, will the firm act as a primary dealer: </w:t>
      </w:r>
    </w:p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Yes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No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If yes, a</w:t>
      </w:r>
      <w:r>
        <w:rPr>
          <w:rFonts w:ascii="Arial" w:hAnsi="Arial"/>
          <w:i/>
        </w:rPr>
        <w:t>ttach</w:t>
      </w:r>
      <w:r>
        <w:rPr>
          <w:rFonts w:ascii="Arial" w:hAnsi="Arial"/>
        </w:rPr>
        <w:t xml:space="preserve"> a detailed description of how this activity will be conducted.</w:t>
      </w:r>
    </w:p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8E69A9" w:rsidP="00FB4610">
      <w:pPr>
        <w:pStyle w:val="ListBullet"/>
        <w:widowControl/>
        <w:numPr>
          <w:ilvl w:val="0"/>
          <w:numId w:val="3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The firm’s intended customer base for transactions in these securities will be: </w:t>
      </w:r>
    </w:p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Institutional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Retail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Other broker/dealers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8E69A9">
      <w:pPr>
        <w:rPr>
          <w:rFonts w:ascii="Arial" w:hAnsi="Arial"/>
          <w:smallCaps/>
        </w:rPr>
      </w:pPr>
    </w:p>
    <w:p w:rsidR="00000000" w:rsidRDefault="008E69A9" w:rsidP="00FB4610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jc w:val="center"/>
        <w:rPr>
          <w:rFonts w:ascii="Arial" w:hAnsi="Arial"/>
          <w:b/>
        </w:rPr>
      </w:pPr>
      <w:r>
        <w:rPr>
          <w:rFonts w:ascii="Arial" w:hAnsi="Arial"/>
          <w:b/>
          <w:smallCaps/>
        </w:rPr>
        <w:br w:type="page"/>
      </w:r>
      <w:r>
        <w:rPr>
          <w:rFonts w:ascii="Arial" w:hAnsi="Arial"/>
          <w:b/>
          <w:smallCaps/>
        </w:rPr>
        <w:lastRenderedPageBreak/>
        <w:t>Information and Documentation to be Sub</w:t>
      </w:r>
      <w:r>
        <w:rPr>
          <w:rFonts w:ascii="Arial" w:hAnsi="Arial"/>
          <w:b/>
          <w:smallCaps/>
        </w:rPr>
        <w:t>mitted</w:t>
      </w:r>
    </w:p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8E69A9" w:rsidP="00FB4610">
      <w:pPr>
        <w:pStyle w:val="ListBullet"/>
        <w:widowControl/>
        <w:numPr>
          <w:ilvl w:val="0"/>
          <w:numId w:val="4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Evidence that the necessary person(s) has passed the Government Securities Limited Representative Examination (Series 72). </w:t>
      </w:r>
    </w:p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8E69A9" w:rsidP="00FB4610">
      <w:pPr>
        <w:pStyle w:val="ListBullet"/>
        <w:widowControl/>
        <w:numPr>
          <w:ilvl w:val="0"/>
          <w:numId w:val="4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Describe the method of clearance to be used for transactions in government securities.</w:t>
      </w:r>
    </w:p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8E69A9" w:rsidP="00FB4610">
      <w:pPr>
        <w:pStyle w:val="ListBullet"/>
        <w:widowControl/>
        <w:numPr>
          <w:ilvl w:val="0"/>
          <w:numId w:val="4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Explain the firm’s procedures for treasury auction processing, if applicable.</w:t>
      </w:r>
    </w:p>
    <w:p w:rsidR="00000000" w:rsidRDefault="008E69A9" w:rsidP="00FB4610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8E69A9" w:rsidRDefault="008E69A9" w:rsidP="00FB4610">
      <w:pPr>
        <w:pStyle w:val="ListBullet"/>
        <w:keepNext/>
        <w:widowControl/>
        <w:numPr>
          <w:ilvl w:val="0"/>
          <w:numId w:val="4"/>
        </w:numPr>
        <w:pBdr>
          <w:bottom w:val="none" w:sz="0" w:space="0" w:color="auto"/>
        </w:pBdr>
        <w:tabs>
          <w:tab w:val="clear" w:pos="360"/>
        </w:tabs>
        <w:spacing w:before="240" w:after="60"/>
        <w:jc w:val="center"/>
        <w:rPr>
          <w:rFonts w:ascii="Arial" w:hAnsi="Arial"/>
        </w:rPr>
      </w:pPr>
      <w:r>
        <w:rPr>
          <w:rFonts w:ascii="Arial" w:hAnsi="Arial"/>
        </w:rPr>
        <w:t>Attach a copy of the firm’s Written Supervisory Procedures for government securities. Please note that, among other things, these procedures should describe the firm’s commission/markup/markdown policy and should</w:t>
      </w:r>
      <w:r>
        <w:rPr>
          <w:rFonts w:ascii="Arial" w:hAnsi="Arial"/>
        </w:rPr>
        <w:t xml:space="preserve"> also address compliance with all NASD rules set forth in </w:t>
      </w:r>
      <w:r>
        <w:rPr>
          <w:rFonts w:ascii="Arial" w:hAnsi="Arial"/>
          <w:i/>
        </w:rPr>
        <w:t>Notice to Members 96-66</w:t>
      </w:r>
      <w:r>
        <w:rPr>
          <w:rFonts w:ascii="Arial" w:hAnsi="Arial"/>
        </w:rPr>
        <w:t>.</w:t>
      </w:r>
    </w:p>
    <w:sectPr w:rsidR="008E69A9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2240" w:h="15840"/>
      <w:pgMar w:top="72" w:right="1440" w:bottom="1440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9A9" w:rsidRDefault="008E69A9">
      <w:r>
        <w:separator/>
      </w:r>
    </w:p>
  </w:endnote>
  <w:endnote w:type="continuationSeparator" w:id="0">
    <w:p w:rsidR="008E69A9" w:rsidRDefault="008E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Kino MT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E69A9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000000" w:rsidRDefault="008E69A9">
    <w:pPr>
      <w:pStyle w:val="Footer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E69A9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610"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00" w:rsidRDefault="008E69A9">
    <w:pPr>
      <w:pStyle w:val="Footer"/>
      <w:widowControl/>
      <w:rPr>
        <w:b/>
      </w:rPr>
    </w:pPr>
    <w:r>
      <w:rPr>
        <w:b/>
      </w:rPr>
      <w:t>Version: 12-99</w:t>
    </w:r>
  </w:p>
  <w:p w:rsidR="00000000" w:rsidRDefault="008E69A9">
    <w:pPr>
      <w:pStyle w:val="Footer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9A9" w:rsidRDefault="008E69A9">
      <w:r>
        <w:separator/>
      </w:r>
    </w:p>
  </w:footnote>
  <w:footnote w:type="continuationSeparator" w:id="0">
    <w:p w:rsidR="008E69A9" w:rsidRDefault="008E6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E69A9">
    <w:pPr>
      <w:pStyle w:val="Header"/>
      <w:ind w:left="-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0DF"/>
    <w:multiLevelType w:val="singleLevel"/>
    <w:tmpl w:val="D12631C0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1">
    <w:nsid w:val="053F7160"/>
    <w:multiLevelType w:val="singleLevel"/>
    <w:tmpl w:val="6C964338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2">
    <w:nsid w:val="0E3D59E8"/>
    <w:multiLevelType w:val="singleLevel"/>
    <w:tmpl w:val="D872294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3">
    <w:nsid w:val="123541A7"/>
    <w:multiLevelType w:val="singleLevel"/>
    <w:tmpl w:val="D872294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10"/>
    <w:rsid w:val="008E69A9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Bullet">
    <w:name w:val="List Bullet"/>
    <w:basedOn w:val="Normal"/>
    <w:semiHidden/>
    <w:pPr>
      <w:pBdr>
        <w:bottom w:val="dotted" w:sz="6" w:space="3" w:color="auto"/>
      </w:pBd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left" w:pos="360"/>
      </w:tabs>
      <w:ind w:left="36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FootnoteText">
    <w:name w:val="footnote text"/>
    <w:basedOn w:val="Normal"/>
    <w:semiHidden/>
    <w:pPr>
      <w:widowControl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Bullet">
    <w:name w:val="List Bullet"/>
    <w:basedOn w:val="Normal"/>
    <w:semiHidden/>
    <w:pPr>
      <w:pBdr>
        <w:bottom w:val="dotted" w:sz="6" w:space="3" w:color="auto"/>
      </w:pBd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left" w:pos="360"/>
      </w:tabs>
      <w:ind w:left="36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FootnoteText">
    <w:name w:val="footnote text"/>
    <w:basedOn w:val="Normal"/>
    <w:semiHidden/>
    <w:pPr>
      <w:widowControl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COMMUNICATION NETWORKS (ECNs)</vt:lpstr>
    </vt:vector>
  </TitlesOfParts>
  <Company>NASD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COMMUNICATION NETWORKS (ECNs)</dc:title>
  <dc:creator>Microsoft Office User</dc:creator>
  <cp:lastModifiedBy>Bruns, Don</cp:lastModifiedBy>
  <cp:revision>2</cp:revision>
  <cp:lastPrinted>2000-02-14T15:05:00Z</cp:lastPrinted>
  <dcterms:created xsi:type="dcterms:W3CDTF">2014-07-23T18:24:00Z</dcterms:created>
  <dcterms:modified xsi:type="dcterms:W3CDTF">2014-07-23T18:24:00Z</dcterms:modified>
</cp:coreProperties>
</file>