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F78B9" w:rsidP="00F2764F">
      <w:pPr>
        <w:pStyle w:val="ListBullet"/>
        <w:widowControl/>
        <w:numPr>
          <w:ilvl w:val="0"/>
          <w:numId w:val="0"/>
        </w:numPr>
        <w:pBdr>
          <w:bottom w:val="none" w:sz="0" w:space="0" w:color="auto"/>
        </w:pBdr>
        <w:tabs>
          <w:tab w:val="clear" w:pos="360"/>
        </w:tabs>
        <w:jc w:val="center"/>
        <w:rPr>
          <w:rFonts w:ascii="Arial" w:hAnsi="Arial"/>
          <w:b/>
        </w:rPr>
      </w:pPr>
      <w:bookmarkStart w:id="0" w:name="_GoBack"/>
      <w:bookmarkEnd w:id="0"/>
      <w:r>
        <w:rPr>
          <w:rFonts w:ascii="Arial" w:hAnsi="Arial"/>
          <w:smallCaps/>
        </w:rPr>
        <w:t>Member Information for Proposed Business Expansion</w:t>
      </w:r>
    </w:p>
    <w:p w:rsidR="00000000" w:rsidRDefault="007F78B9">
      <w:pPr>
        <w:pStyle w:val="Heading3"/>
      </w:pPr>
      <w:r>
        <w:rPr>
          <w:sz w:val="28"/>
        </w:rPr>
        <w:t>MUNICIPALS</w:t>
      </w:r>
      <w:r>
        <w:t xml:space="preserve"> </w:t>
      </w:r>
    </w:p>
    <w:p w:rsidR="00000000" w:rsidRDefault="007F78B9" w:rsidP="00F2764F">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7F78B9" w:rsidP="00F2764F">
            <w:pPr>
              <w:pStyle w:val="ListBullet"/>
              <w:widowControl/>
              <w:numPr>
                <w:ilvl w:val="0"/>
                <w:numId w:val="0"/>
              </w:numPr>
              <w:pBdr>
                <w:bottom w:val="none" w:sz="0" w:space="0" w:color="auto"/>
              </w:pBdr>
              <w:tabs>
                <w:tab w:val="clear" w:pos="360"/>
              </w:tabs>
              <w:rPr>
                <w:rFonts w:ascii="Arial" w:hAnsi="Arial"/>
              </w:rPr>
            </w:pP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__________________________________________</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Co</w:t>
            </w:r>
            <w:r>
              <w:rPr>
                <w:rFonts w:ascii="Arial" w:hAnsi="Arial"/>
              </w:rPr>
              <w:t xml:space="preserve">mpleting This Form: </w:t>
            </w:r>
            <w:r>
              <w:rPr>
                <w:rFonts w:ascii="Arial" w:hAnsi="Arial"/>
              </w:rPr>
              <w:tab/>
              <w:t>__________________________________________</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p>
        </w:tc>
      </w:tr>
    </w:tbl>
    <w:p w:rsidR="00000000" w:rsidRDefault="007F78B9" w:rsidP="00F2764F">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1"/>
        </w:numPr>
        <w:pBdr>
          <w:bottom w:val="none" w:sz="0" w:space="0" w:color="auto"/>
        </w:pBdr>
        <w:tabs>
          <w:tab w:val="clear" w:pos="360"/>
        </w:tabs>
        <w:rPr>
          <w:rFonts w:ascii="Arial" w:hAnsi="Arial"/>
        </w:rPr>
      </w:pPr>
      <w:r>
        <w:rPr>
          <w:rFonts w:ascii="Arial" w:hAnsi="Arial"/>
        </w:rPr>
        <w:t xml:space="preserve"> In what capacity will the firm act with respect to transactions in municipal securities (check all that apply): </w:t>
      </w:r>
    </w:p>
    <w:p w:rsidR="00000000" w:rsidRDefault="007F78B9" w:rsidP="00F2764F">
      <w:pPr>
        <w:pStyle w:val="ListBullet"/>
        <w:widowControl/>
        <w:numPr>
          <w:ilvl w:val="0"/>
          <w:numId w:val="0"/>
        </w:numPr>
        <w:pBdr>
          <w:bottom w:val="none" w:sz="0" w:space="0" w:color="auto"/>
        </w:pBdr>
        <w:tabs>
          <w:tab w:val="clear" w:pos="360"/>
        </w:tabs>
        <w:ind w:left="360" w:firstLine="360"/>
        <w:rPr>
          <w:rFonts w:ascii="Arial" w:hAnsi="Arial"/>
        </w:rPr>
      </w:pPr>
    </w:p>
    <w:p w:rsidR="00000000" w:rsidRDefault="007F78B9">
      <w:pPr>
        <w:widowControl/>
        <w:ind w:firstLine="720"/>
        <w:rPr>
          <w:rFonts w:ascii="Arial" w:hAnsi="Arial"/>
        </w:rPr>
      </w:pPr>
      <w:r>
        <w:rPr>
          <w:rFonts w:ascii="Arial" w:hAnsi="Arial"/>
        </w:rPr>
        <w:t>Agent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p>
    <w:p w:rsidR="00000000" w:rsidRDefault="007F78B9">
      <w:pPr>
        <w:widowControl/>
        <w:ind w:firstLine="720"/>
        <w:rPr>
          <w:rFonts w:ascii="Arial" w:hAnsi="Arial"/>
        </w:rPr>
      </w:pPr>
      <w:r>
        <w:rPr>
          <w:rFonts w:ascii="Arial" w:hAnsi="Arial"/>
        </w:rPr>
        <w:t>Underwriter</w:t>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w:t>
      </w:r>
    </w:p>
    <w:p w:rsidR="00000000" w:rsidRDefault="007F78B9">
      <w:pPr>
        <w:widowControl/>
        <w:ind w:firstLine="720"/>
        <w:rPr>
          <w:rFonts w:ascii="Arial" w:hAnsi="Arial"/>
          <w:sz w:val="22"/>
        </w:rPr>
      </w:pPr>
      <w:r>
        <w:rPr>
          <w:rFonts w:ascii="Arial" w:hAnsi="Arial"/>
          <w:sz w:val="22"/>
        </w:rPr>
        <w:tab/>
      </w:r>
    </w:p>
    <w:p w:rsidR="00000000" w:rsidRDefault="007F78B9">
      <w:pPr>
        <w:widowControl/>
        <w:ind w:firstLine="720"/>
        <w:rPr>
          <w:rFonts w:ascii="Arial" w:hAnsi="Arial"/>
        </w:rPr>
      </w:pPr>
      <w:r>
        <w:rPr>
          <w:rFonts w:ascii="Arial" w:hAnsi="Arial"/>
        </w:rPr>
        <w:t>If firm will act as Underwriter, indicate firm capacity:</w:t>
      </w:r>
    </w:p>
    <w:p w:rsidR="00000000" w:rsidRDefault="007F78B9">
      <w:pPr>
        <w:widowControl/>
        <w:ind w:firstLine="720"/>
        <w:rPr>
          <w:rFonts w:ascii="Arial" w:hAnsi="Arial"/>
        </w:rPr>
      </w:pPr>
      <w:r>
        <w:rPr>
          <w:rFonts w:ascii="Arial" w:hAnsi="Arial"/>
        </w:rPr>
        <w:tab/>
        <w:t>Syndicate Manager</w:t>
      </w:r>
      <w:r>
        <w:rPr>
          <w:rFonts w:ascii="Arial" w:hAnsi="Arial"/>
        </w:rPr>
        <w:tab/>
      </w:r>
      <w:r>
        <w:rPr>
          <w:rFonts w:ascii="Arial" w:hAnsi="Arial"/>
        </w:rPr>
        <w:tab/>
      </w:r>
      <w:r>
        <w:rPr>
          <w:rFonts w:ascii="Arial" w:hAnsi="Arial"/>
        </w:rPr>
        <w:sym w:font="Kino MT" w:char="0090"/>
      </w:r>
    </w:p>
    <w:p w:rsidR="00000000" w:rsidRDefault="007F78B9">
      <w:pPr>
        <w:widowControl/>
        <w:ind w:firstLine="720"/>
        <w:rPr>
          <w:rFonts w:ascii="Arial" w:hAnsi="Arial"/>
        </w:rPr>
      </w:pPr>
      <w:r>
        <w:rPr>
          <w:rFonts w:ascii="Arial" w:hAnsi="Arial"/>
        </w:rPr>
        <w:tab/>
        <w:t>Sole Underwriter</w:t>
      </w:r>
      <w:r>
        <w:rPr>
          <w:rFonts w:ascii="Arial" w:hAnsi="Arial"/>
        </w:rPr>
        <w:tab/>
      </w:r>
      <w:r>
        <w:rPr>
          <w:rFonts w:ascii="Arial" w:hAnsi="Arial"/>
        </w:rPr>
        <w:tab/>
      </w:r>
      <w:r>
        <w:rPr>
          <w:rFonts w:ascii="Arial" w:hAnsi="Arial"/>
        </w:rPr>
        <w:sym w:font="Kino MT" w:char="0090"/>
      </w:r>
    </w:p>
    <w:p w:rsidR="00000000" w:rsidRDefault="007F78B9">
      <w:pPr>
        <w:widowControl/>
        <w:ind w:firstLine="720"/>
        <w:rPr>
          <w:rFonts w:ascii="Arial" w:hAnsi="Arial"/>
        </w:rPr>
      </w:pPr>
      <w:r>
        <w:rPr>
          <w:rFonts w:ascii="Arial" w:hAnsi="Arial"/>
        </w:rPr>
        <w:tab/>
        <w:t>Co-Manager</w:t>
      </w:r>
      <w:r>
        <w:rPr>
          <w:rFonts w:ascii="Arial" w:hAnsi="Arial"/>
        </w:rPr>
        <w:tab/>
      </w:r>
      <w:r>
        <w:rPr>
          <w:rFonts w:ascii="Arial" w:hAnsi="Arial"/>
        </w:rPr>
        <w:tab/>
      </w:r>
      <w:r>
        <w:rPr>
          <w:rFonts w:ascii="Arial" w:hAnsi="Arial"/>
        </w:rPr>
        <w:tab/>
      </w:r>
      <w:r>
        <w:rPr>
          <w:rFonts w:ascii="Arial" w:hAnsi="Arial"/>
        </w:rPr>
        <w:sym w:font="Kino MT" w:char="0090"/>
      </w:r>
    </w:p>
    <w:p w:rsidR="00000000" w:rsidRDefault="007F78B9">
      <w:pPr>
        <w:widowControl/>
        <w:ind w:firstLine="720"/>
        <w:rPr>
          <w:rFonts w:ascii="Arial" w:hAnsi="Arial"/>
        </w:rPr>
      </w:pPr>
      <w:r>
        <w:rPr>
          <w:rFonts w:ascii="Arial" w:hAnsi="Arial"/>
        </w:rPr>
        <w:tab/>
        <w:t>Syndicate Participant</w:t>
      </w:r>
      <w:r>
        <w:rPr>
          <w:rFonts w:ascii="Arial" w:hAnsi="Arial"/>
        </w:rPr>
        <w:tab/>
      </w:r>
      <w:r>
        <w:rPr>
          <w:rFonts w:ascii="Arial" w:hAnsi="Arial"/>
        </w:rPr>
        <w:sym w:font="Kino MT" w:char="0090"/>
      </w:r>
    </w:p>
    <w:p w:rsidR="00000000" w:rsidRDefault="007F78B9">
      <w:pPr>
        <w:widowControl/>
        <w:ind w:firstLine="720"/>
        <w:rPr>
          <w:rFonts w:ascii="Arial" w:hAnsi="Arial"/>
        </w:rPr>
      </w:pPr>
    </w:p>
    <w:p w:rsidR="00000000" w:rsidRDefault="007F78B9" w:rsidP="00F2764F">
      <w:pPr>
        <w:widowControl/>
        <w:numPr>
          <w:ilvl w:val="0"/>
          <w:numId w:val="2"/>
        </w:numPr>
        <w:rPr>
          <w:rFonts w:ascii="Arial" w:hAnsi="Arial"/>
        </w:rPr>
      </w:pPr>
      <w:r>
        <w:rPr>
          <w:rFonts w:ascii="Arial" w:hAnsi="Arial"/>
        </w:rPr>
        <w:t>Will the firm act as a:</w:t>
      </w:r>
    </w:p>
    <w:p w:rsidR="00000000" w:rsidRDefault="007F78B9">
      <w:pPr>
        <w:widowControl/>
        <w:rPr>
          <w:rFonts w:ascii="Arial" w:hAnsi="Arial"/>
        </w:rPr>
      </w:pPr>
      <w:r>
        <w:rPr>
          <w:rFonts w:ascii="Arial" w:hAnsi="Arial"/>
        </w:rPr>
        <w:tab/>
        <w:t>Municipal Securities Broker/Dealer</w:t>
      </w:r>
      <w:r>
        <w:rPr>
          <w:rFonts w:ascii="Arial" w:hAnsi="Arial"/>
        </w:rPr>
        <w:tab/>
      </w:r>
      <w:r>
        <w:rPr>
          <w:rFonts w:ascii="Arial" w:hAnsi="Arial"/>
        </w:rPr>
        <w:tab/>
      </w:r>
      <w:r>
        <w:rPr>
          <w:rFonts w:ascii="Arial" w:hAnsi="Arial"/>
        </w:rPr>
        <w:sym w:font="Kino MT" w:char="0090"/>
      </w:r>
    </w:p>
    <w:p w:rsidR="00000000" w:rsidRDefault="007F78B9">
      <w:pPr>
        <w:widowControl/>
        <w:rPr>
          <w:rFonts w:ascii="Arial" w:hAnsi="Arial"/>
        </w:rPr>
      </w:pPr>
      <w:r>
        <w:rPr>
          <w:rFonts w:ascii="Arial" w:hAnsi="Arial"/>
        </w:rPr>
        <w:tab/>
        <w:t>Municipal Securities Broker’s Broker</w:t>
      </w:r>
      <w:r>
        <w:rPr>
          <w:rFonts w:ascii="Arial" w:hAnsi="Arial"/>
        </w:rPr>
        <w:tab/>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firstLine="720"/>
        <w:rPr>
          <w:rFonts w:ascii="Arial" w:hAnsi="Arial"/>
        </w:rPr>
      </w:pPr>
    </w:p>
    <w:p w:rsidR="00000000" w:rsidRDefault="007F78B9" w:rsidP="00F2764F">
      <w:pPr>
        <w:pStyle w:val="ListBullet"/>
        <w:widowControl/>
        <w:numPr>
          <w:ilvl w:val="0"/>
          <w:numId w:val="3"/>
        </w:numPr>
        <w:pBdr>
          <w:bottom w:val="none" w:sz="0" w:space="0" w:color="auto"/>
        </w:pBdr>
        <w:tabs>
          <w:tab w:val="clear" w:pos="360"/>
        </w:tabs>
        <w:rPr>
          <w:rFonts w:ascii="Arial" w:hAnsi="Arial"/>
        </w:rPr>
      </w:pPr>
      <w:r>
        <w:rPr>
          <w:rFonts w:ascii="Arial" w:hAnsi="Arial"/>
        </w:rPr>
        <w:t>Does the firm intend to advertise?</w:t>
      </w:r>
      <w:r>
        <w:rPr>
          <w:rFonts w:ascii="Arial" w:hAnsi="Arial"/>
        </w:rPr>
        <w:tab/>
        <w:t xml:space="preserve">Yes:    </w:t>
      </w:r>
      <w:r>
        <w:rPr>
          <w:rFonts w:ascii="Arial" w:hAnsi="Arial"/>
        </w:rPr>
        <w:sym w:font="Kino MT" w:char="0090"/>
      </w:r>
      <w:r>
        <w:rPr>
          <w:rFonts w:ascii="Arial" w:hAnsi="Arial"/>
        </w:rPr>
        <w:t xml:space="preserve">  No:  </w:t>
      </w:r>
      <w:r>
        <w:rPr>
          <w:rFonts w:ascii="Arial" w:hAnsi="Arial"/>
        </w:rPr>
        <w:t xml:space="preserve">  </w:t>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firstLine="720"/>
        <w:rPr>
          <w:rFonts w:ascii="Arial" w:hAnsi="Arial"/>
        </w:rPr>
      </w:pPr>
      <w:r>
        <w:rPr>
          <w:rFonts w:ascii="Arial" w:hAnsi="Arial"/>
        </w:rPr>
        <w:t>If yes, which of the following media will the firm utilize:</w:t>
      </w:r>
    </w:p>
    <w:p w:rsidR="00000000" w:rsidRDefault="007F78B9" w:rsidP="00F2764F">
      <w:pPr>
        <w:pStyle w:val="ListBullet"/>
        <w:widowControl/>
        <w:numPr>
          <w:ilvl w:val="0"/>
          <w:numId w:val="0"/>
        </w:numPr>
        <w:pBdr>
          <w:bottom w:val="none" w:sz="0" w:space="0" w:color="auto"/>
        </w:pBdr>
        <w:tabs>
          <w:tab w:val="clear" w:pos="360"/>
        </w:tabs>
        <w:ind w:left="720" w:firstLine="720"/>
        <w:rPr>
          <w:rFonts w:ascii="Arial" w:hAnsi="Arial"/>
        </w:rPr>
      </w:pPr>
      <w:r>
        <w:rPr>
          <w:rFonts w:ascii="Arial" w:hAnsi="Arial"/>
        </w:rPr>
        <w:t>Print</w:t>
      </w:r>
      <w:r>
        <w:rPr>
          <w:rFonts w:ascii="Arial" w:hAnsi="Arial"/>
        </w:rPr>
        <w:tab/>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left="720" w:firstLine="720"/>
        <w:rPr>
          <w:rFonts w:ascii="Arial" w:hAnsi="Arial"/>
        </w:rPr>
      </w:pPr>
      <w:r>
        <w:rPr>
          <w:rFonts w:ascii="Arial" w:hAnsi="Arial"/>
        </w:rPr>
        <w:t>Radio</w:t>
      </w:r>
      <w:r>
        <w:rPr>
          <w:rFonts w:ascii="Arial" w:hAnsi="Arial"/>
        </w:rPr>
        <w:tab/>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left="720" w:firstLine="720"/>
        <w:rPr>
          <w:rFonts w:ascii="Arial" w:hAnsi="Arial"/>
        </w:rPr>
      </w:pPr>
      <w:r>
        <w:rPr>
          <w:rFonts w:ascii="Arial" w:hAnsi="Arial"/>
        </w:rPr>
        <w:t>Television</w:t>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left="720" w:firstLine="720"/>
        <w:rPr>
          <w:rFonts w:ascii="Arial" w:hAnsi="Arial"/>
          <w:sz w:val="20"/>
        </w:rPr>
      </w:pPr>
      <w:r>
        <w:rPr>
          <w:rFonts w:ascii="Arial" w:hAnsi="Arial"/>
        </w:rPr>
        <w:t>Other</w:t>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7F78B9" w:rsidP="00F2764F">
      <w:pPr>
        <w:pStyle w:val="ListBullet"/>
        <w:widowControl/>
        <w:numPr>
          <w:ilvl w:val="0"/>
          <w:numId w:val="0"/>
        </w:numPr>
        <w:pBdr>
          <w:bottom w:val="none" w:sz="0" w:space="0" w:color="auto"/>
        </w:pBdr>
        <w:tabs>
          <w:tab w:val="clear" w:pos="360"/>
        </w:tabs>
        <w:ind w:left="720" w:firstLine="720"/>
        <w:rPr>
          <w:rFonts w:ascii="Arial" w:hAnsi="Arial"/>
        </w:rPr>
      </w:pPr>
    </w:p>
    <w:p w:rsidR="00000000" w:rsidRDefault="007F78B9" w:rsidP="00F2764F">
      <w:pPr>
        <w:pStyle w:val="ListBullet"/>
        <w:widowControl/>
        <w:numPr>
          <w:ilvl w:val="0"/>
          <w:numId w:val="4"/>
        </w:numPr>
        <w:pBdr>
          <w:bottom w:val="none" w:sz="0" w:space="0" w:color="auto"/>
        </w:pBdr>
        <w:tabs>
          <w:tab w:val="clear" w:pos="360"/>
        </w:tabs>
        <w:rPr>
          <w:rFonts w:ascii="Arial" w:hAnsi="Arial"/>
        </w:rPr>
      </w:pPr>
      <w:r>
        <w:rPr>
          <w:rFonts w:ascii="Arial" w:hAnsi="Arial"/>
        </w:rPr>
        <w:t xml:space="preserve">Will the firm engage in cold calling/telemarketing? Yes:    </w:t>
      </w:r>
      <w:r>
        <w:rPr>
          <w:rFonts w:ascii="Arial" w:hAnsi="Arial"/>
        </w:rPr>
        <w:sym w:font="Kino MT" w:char="0090"/>
      </w:r>
      <w:r>
        <w:rPr>
          <w:rFonts w:ascii="Arial" w:hAnsi="Arial"/>
        </w:rPr>
        <w:t xml:space="preserve">  No:    </w:t>
      </w:r>
      <w:r>
        <w:rPr>
          <w:rFonts w:ascii="Arial" w:hAnsi="Arial"/>
        </w:rPr>
        <w:sym w:font="Kino MT" w:char="0090"/>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4"/>
        </w:numPr>
        <w:pBdr>
          <w:bottom w:val="none" w:sz="0" w:space="0" w:color="auto"/>
        </w:pBdr>
        <w:tabs>
          <w:tab w:val="clear" w:pos="360"/>
        </w:tabs>
        <w:rPr>
          <w:rFonts w:ascii="Arial" w:hAnsi="Arial"/>
        </w:rPr>
      </w:pPr>
      <w:r>
        <w:rPr>
          <w:rFonts w:ascii="Arial" w:hAnsi="Arial"/>
        </w:rPr>
        <w:t xml:space="preserve">The firm’s intended customer base for municipal securities will be: </w:t>
      </w: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ab/>
        <w:t>Retail</w:t>
      </w:r>
      <w:r>
        <w:rPr>
          <w:rFonts w:ascii="Arial" w:hAnsi="Arial"/>
        </w:rPr>
        <w:tab/>
      </w:r>
      <w:r>
        <w:rPr>
          <w:rFonts w:ascii="Arial" w:hAnsi="Arial"/>
        </w:rPr>
        <w:tab/>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rPr>
          <w:rFonts w:ascii="Arial" w:hAnsi="Arial"/>
        </w:rPr>
      </w:pPr>
      <w:r>
        <w:rPr>
          <w:rFonts w:ascii="Arial" w:hAnsi="Arial"/>
        </w:rPr>
        <w:tab/>
        <w:t>Institutional</w:t>
      </w:r>
      <w:r>
        <w:rPr>
          <w:rFonts w:ascii="Arial" w:hAnsi="Arial"/>
        </w:rPr>
        <w:tab/>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left="360" w:firstLine="360"/>
        <w:rPr>
          <w:rFonts w:ascii="Arial" w:hAnsi="Arial"/>
        </w:rPr>
      </w:pPr>
      <w:r>
        <w:rPr>
          <w:rFonts w:ascii="Arial" w:hAnsi="Arial"/>
        </w:rPr>
        <w:t>Broker/Dealer</w:t>
      </w:r>
      <w:r>
        <w:rPr>
          <w:rFonts w:ascii="Arial" w:hAnsi="Arial"/>
        </w:rPr>
        <w:tab/>
      </w:r>
      <w:r>
        <w:rPr>
          <w:rFonts w:ascii="Arial" w:hAnsi="Arial"/>
        </w:rPr>
        <w:sym w:font="Kino MT" w:char="0090"/>
      </w:r>
    </w:p>
    <w:p w:rsidR="00000000" w:rsidRDefault="007F78B9" w:rsidP="00F2764F">
      <w:pPr>
        <w:pStyle w:val="ListBullet"/>
        <w:widowControl/>
        <w:numPr>
          <w:ilvl w:val="0"/>
          <w:numId w:val="0"/>
        </w:numPr>
        <w:pBdr>
          <w:bottom w:val="none" w:sz="0" w:space="0" w:color="auto"/>
        </w:pBdr>
        <w:tabs>
          <w:tab w:val="clear" w:pos="360"/>
        </w:tabs>
        <w:ind w:left="360" w:firstLine="360"/>
        <w:rPr>
          <w:rFonts w:ascii="Arial" w:hAnsi="Arial"/>
        </w:rPr>
      </w:pPr>
      <w:r>
        <w:rPr>
          <w:rFonts w:ascii="Arial" w:hAnsi="Arial"/>
        </w:rPr>
        <w:t>Other</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7F78B9" w:rsidP="00F2764F">
      <w:pPr>
        <w:pStyle w:val="ListBullet"/>
        <w:widowControl/>
        <w:numPr>
          <w:ilvl w:val="0"/>
          <w:numId w:val="0"/>
        </w:numPr>
        <w:pBdr>
          <w:bottom w:val="none" w:sz="0" w:space="0" w:color="auto"/>
        </w:pBdr>
        <w:tabs>
          <w:tab w:val="clear" w:pos="360"/>
        </w:tabs>
        <w:ind w:left="360" w:hanging="360"/>
        <w:jc w:val="center"/>
        <w:rPr>
          <w:rFonts w:ascii="Arial" w:hAnsi="Arial"/>
          <w:b/>
        </w:rPr>
      </w:pPr>
      <w:r>
        <w:rPr>
          <w:rFonts w:ascii="Arial" w:hAnsi="Arial"/>
          <w:b/>
          <w:smallCaps/>
        </w:rPr>
        <w:br w:type="page"/>
      </w:r>
      <w:r>
        <w:rPr>
          <w:rFonts w:ascii="Arial" w:hAnsi="Arial"/>
          <w:b/>
          <w:smallCaps/>
        </w:rPr>
        <w:lastRenderedPageBreak/>
        <w:t>Information and Documentation to be Submitted</w:t>
      </w:r>
    </w:p>
    <w:p w:rsidR="00000000" w:rsidRDefault="007F78B9" w:rsidP="00F2764F">
      <w:pPr>
        <w:pStyle w:val="ListBullet"/>
        <w:widowControl/>
        <w:numPr>
          <w:ilvl w:val="0"/>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5"/>
        </w:numPr>
        <w:pBdr>
          <w:bottom w:val="none" w:sz="0" w:space="0" w:color="auto"/>
        </w:pBdr>
        <w:tabs>
          <w:tab w:val="clear" w:pos="360"/>
        </w:tabs>
        <w:rPr>
          <w:rFonts w:ascii="Arial" w:hAnsi="Arial"/>
        </w:rPr>
      </w:pPr>
      <w:r>
        <w:rPr>
          <w:rFonts w:ascii="Arial" w:hAnsi="Arial"/>
        </w:rPr>
        <w:t xml:space="preserve">Provide evidence of the firm’s payment of initial fees to the Municipal Securities Rulemaking Board (MSRB). </w:t>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5"/>
        </w:numPr>
        <w:pBdr>
          <w:bottom w:val="none" w:sz="0" w:space="0" w:color="auto"/>
        </w:pBdr>
        <w:tabs>
          <w:tab w:val="clear" w:pos="360"/>
        </w:tabs>
        <w:rPr>
          <w:rFonts w:ascii="Arial" w:hAnsi="Arial"/>
        </w:rPr>
      </w:pPr>
      <w:r>
        <w:rPr>
          <w:rFonts w:ascii="Arial" w:hAnsi="Arial"/>
        </w:rPr>
        <w:t xml:space="preserve">Provide </w:t>
      </w:r>
      <w:r>
        <w:rPr>
          <w:rFonts w:ascii="Arial" w:hAnsi="Arial"/>
        </w:rPr>
        <w:t>evidence that the firm employs an individual who has taken and passed the Series 53 examination. Provide name and CRD number of person.</w:t>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5"/>
        </w:numPr>
        <w:pBdr>
          <w:bottom w:val="none" w:sz="0" w:space="0" w:color="auto"/>
        </w:pBdr>
        <w:tabs>
          <w:tab w:val="clear" w:pos="360"/>
        </w:tabs>
        <w:rPr>
          <w:rFonts w:ascii="Arial" w:hAnsi="Arial"/>
        </w:rPr>
      </w:pPr>
      <w:r>
        <w:rPr>
          <w:rFonts w:ascii="Arial" w:hAnsi="Arial"/>
        </w:rPr>
        <w:t>Has the firm obtained an executing broker symbol to identify its reported municipal securities transactions? Provide symbol.</w:t>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5"/>
        </w:numPr>
        <w:pBdr>
          <w:bottom w:val="none" w:sz="0" w:space="0" w:color="auto"/>
        </w:pBdr>
        <w:tabs>
          <w:tab w:val="clear" w:pos="360"/>
        </w:tabs>
        <w:rPr>
          <w:rFonts w:ascii="Arial" w:hAnsi="Arial"/>
        </w:rPr>
      </w:pPr>
      <w:r>
        <w:rPr>
          <w:rFonts w:ascii="Arial" w:hAnsi="Arial"/>
        </w:rPr>
        <w:t>Has the firm provided the MSRB with the name and telephone number of the person responsible for testing the firm’s capabilities to report customer transaction information? Identify person and provide telephone number.</w:t>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7F78B9" w:rsidP="00F2764F">
      <w:pPr>
        <w:pStyle w:val="ListBullet"/>
        <w:widowControl/>
        <w:numPr>
          <w:ilvl w:val="0"/>
          <w:numId w:val="5"/>
        </w:numPr>
        <w:pBdr>
          <w:bottom w:val="none" w:sz="0" w:space="0" w:color="auto"/>
        </w:pBdr>
        <w:tabs>
          <w:tab w:val="clear" w:pos="360"/>
        </w:tabs>
        <w:rPr>
          <w:rFonts w:ascii="Arial" w:hAnsi="Arial"/>
        </w:rPr>
      </w:pPr>
      <w:r>
        <w:rPr>
          <w:rFonts w:ascii="Arial" w:hAnsi="Arial"/>
        </w:rPr>
        <w:t>Provide sample copies of books</w:t>
      </w:r>
      <w:r>
        <w:rPr>
          <w:rFonts w:ascii="Arial" w:hAnsi="Arial"/>
        </w:rPr>
        <w:t xml:space="preserve"> and records required to be maintained under MSRB rules.</w:t>
      </w:r>
    </w:p>
    <w:p w:rsidR="00000000" w:rsidRDefault="007F78B9" w:rsidP="00F2764F">
      <w:pPr>
        <w:pStyle w:val="ListBullet"/>
        <w:widowControl/>
        <w:numPr>
          <w:ilvl w:val="12"/>
          <w:numId w:val="0"/>
        </w:numPr>
        <w:pBdr>
          <w:bottom w:val="none" w:sz="0" w:space="0" w:color="auto"/>
        </w:pBdr>
        <w:tabs>
          <w:tab w:val="clear" w:pos="360"/>
        </w:tabs>
        <w:ind w:left="360" w:hanging="360"/>
        <w:rPr>
          <w:rFonts w:ascii="Arial" w:hAnsi="Arial"/>
        </w:rPr>
      </w:pPr>
    </w:p>
    <w:p w:rsidR="007F78B9" w:rsidRDefault="007F78B9" w:rsidP="00F2764F">
      <w:pPr>
        <w:pStyle w:val="ListBullet"/>
        <w:keepNext/>
        <w:widowControl/>
        <w:numPr>
          <w:ilvl w:val="0"/>
          <w:numId w:val="5"/>
        </w:numPr>
        <w:pBdr>
          <w:bottom w:val="none" w:sz="0" w:space="0" w:color="auto"/>
        </w:pBdr>
        <w:tabs>
          <w:tab w:val="clear" w:pos="360"/>
        </w:tabs>
        <w:spacing w:before="240" w:after="60"/>
        <w:jc w:val="center"/>
        <w:rPr>
          <w:rFonts w:ascii="Arial" w:hAnsi="Arial"/>
        </w:rPr>
      </w:pPr>
      <w:r>
        <w:rPr>
          <w:rFonts w:ascii="Arial" w:hAnsi="Arial"/>
          <w:i/>
        </w:rPr>
        <w:t>NOTE: Written Supervisory Procedures for the proposed municipal activity should address compliance with applicable MSRB rules such as Rules G-8, G-14, G-36 through G-38 and SEC Rule 15c2-12 concerning recommendations of municipal securities. (See Section 12 in the Written Supervisory Procedures Checklist.)</w:t>
      </w:r>
    </w:p>
    <w:sectPr w:rsidR="007F78B9">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B9" w:rsidRDefault="007F78B9">
      <w:r>
        <w:separator/>
      </w:r>
    </w:p>
  </w:endnote>
  <w:endnote w:type="continuationSeparator" w:id="0">
    <w:p w:rsidR="007F78B9" w:rsidRDefault="007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8B9">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7F78B9">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8B9">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9276A5">
      <w:rPr>
        <w:rStyle w:val="PageNumber"/>
        <w:noProof/>
      </w:rPr>
      <w:t>1</w:t>
    </w:r>
    <w:r>
      <w:rPr>
        <w:rStyle w:val="PageNumber"/>
      </w:rPr>
      <w:fldChar w:fldCharType="end"/>
    </w:r>
  </w:p>
  <w:p w:rsidR="00000000" w:rsidRDefault="007F78B9">
    <w:pPr>
      <w:pStyle w:val="Footer"/>
      <w:widowControl/>
      <w:rPr>
        <w:b/>
      </w:rPr>
    </w:pPr>
    <w:r>
      <w:rPr>
        <w:b/>
      </w:rPr>
      <w:t>Version: 12-99</w:t>
    </w:r>
  </w:p>
  <w:p w:rsidR="00000000" w:rsidRDefault="007F78B9">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B9" w:rsidRDefault="007F78B9">
      <w:r>
        <w:separator/>
      </w:r>
    </w:p>
  </w:footnote>
  <w:footnote w:type="continuationSeparator" w:id="0">
    <w:p w:rsidR="007F78B9" w:rsidRDefault="007F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78B9">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9C5"/>
    <w:multiLevelType w:val="singleLevel"/>
    <w:tmpl w:val="2872F80A"/>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
    <w:nsid w:val="21B25575"/>
    <w:multiLevelType w:val="singleLevel"/>
    <w:tmpl w:val="3D9E67D8"/>
    <w:lvl w:ilvl="0">
      <w:start w:val="4"/>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2">
    <w:nsid w:val="5D361AE0"/>
    <w:multiLevelType w:val="singleLevel"/>
    <w:tmpl w:val="64E6307A"/>
    <w:lvl w:ilvl="0">
      <w:start w:val="3"/>
      <w:numFmt w:val="decimal"/>
      <w:lvlText w:val="%1."/>
      <w:legacy w:legacy="1" w:legacySpace="0" w:legacyIndent="360"/>
      <w:lvlJc w:val="left"/>
      <w:pPr>
        <w:ind w:left="360" w:hanging="360"/>
      </w:pPr>
      <w:rPr>
        <w:rFonts w:ascii="Arial" w:hAnsi="Arial" w:cs="Arial" w:hint="default"/>
      </w:rPr>
    </w:lvl>
  </w:abstractNum>
  <w:abstractNum w:abstractNumId="3">
    <w:nsid w:val="6DB20C02"/>
    <w:multiLevelType w:val="singleLevel"/>
    <w:tmpl w:val="AF003DAE"/>
    <w:lvl w:ilvl="0">
      <w:start w:val="2"/>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4">
    <w:nsid w:val="7A6D7182"/>
    <w:multiLevelType w:val="singleLevel"/>
    <w:tmpl w:val="CD421CA2"/>
    <w:lvl w:ilvl="0">
      <w:start w:val="1"/>
      <w:numFmt w:val="decimal"/>
      <w:lvlText w:val="%1."/>
      <w:legacy w:legacy="1" w:legacySpace="0" w:legacyIndent="360"/>
      <w:lvlJc w:val="left"/>
      <w:pPr>
        <w:ind w:left="360" w:hanging="360"/>
      </w:pPr>
      <w:rPr>
        <w:rFonts w:ascii="Arial" w:hAnsi="Arial" w:cs="Aria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4F"/>
    <w:rsid w:val="007F78B9"/>
    <w:rsid w:val="009276A5"/>
    <w:rsid w:val="00F2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2014-07-23T18:25:00Z</dcterms:created>
  <dcterms:modified xsi:type="dcterms:W3CDTF">2014-07-23T18:25:00Z</dcterms:modified>
</cp:coreProperties>
</file>