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5187">
      <w:pPr>
        <w:pStyle w:val="Heading1"/>
        <w:widowControl/>
        <w:jc w:val="center"/>
        <w:rPr>
          <w:b w:val="0"/>
          <w:sz w:val="24"/>
        </w:rPr>
      </w:pPr>
      <w:bookmarkStart w:id="0" w:name="_GoBack"/>
      <w:bookmarkEnd w:id="0"/>
      <w:r>
        <w:rPr>
          <w:b w:val="0"/>
          <w:smallCaps/>
          <w:sz w:val="24"/>
        </w:rPr>
        <w:t>Member Information for Proposed Business Expansion</w:t>
      </w:r>
    </w:p>
    <w:p w:rsidR="00000000" w:rsidRDefault="00885187">
      <w:pPr>
        <w:pStyle w:val="Heading3"/>
        <w:rPr>
          <w:sz w:val="28"/>
        </w:rPr>
      </w:pPr>
      <w:r>
        <w:rPr>
          <w:sz w:val="28"/>
        </w:rPr>
        <w:t xml:space="preserve">SELF-CLEARING BROKER/DEALER </w:t>
      </w:r>
    </w:p>
    <w:p w:rsidR="00000000" w:rsidRDefault="00885187" w:rsidP="00D71EBD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jc w:val="center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Member Firm: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</w:t>
            </w:r>
            <w:r>
              <w:rPr>
                <w:rFonts w:ascii="Arial" w:hAnsi="Arial"/>
              </w:rPr>
              <w:t>________________</w:t>
            </w:r>
          </w:p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Person: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Person </w:t>
            </w:r>
          </w:p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Completing This Form: </w:t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885187" w:rsidP="00D71EBD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</w:tc>
      </w:tr>
    </w:tbl>
    <w:p w:rsidR="00000000" w:rsidRDefault="00885187">
      <w:pPr>
        <w:pStyle w:val="Heading3"/>
        <w:jc w:val="left"/>
        <w:rPr>
          <w:b w:val="0"/>
          <w:smallCaps/>
          <w:sz w:val="24"/>
        </w:rPr>
      </w:pPr>
    </w:p>
    <w:p w:rsidR="00000000" w:rsidRDefault="00885187" w:rsidP="00D71EBD">
      <w:pPr>
        <w:pStyle w:val="ListBullet2"/>
        <w:widowControl/>
        <w:numPr>
          <w:ilvl w:val="0"/>
          <w:numId w:val="1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The firm intends to clear transactions in the following securities (check all that apply): 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Nasdaq Equities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OTC Bulletin Board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Other non-Nasdaq OTC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Listed Third Market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Municipal Securities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Options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Other (Attach description)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72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2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Are there any securities that the firm will not self-clear but will conduct a business in? 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2"/>
        <w:widowControl/>
        <w:numPr>
          <w:ilvl w:val="0"/>
          <w:numId w:val="0"/>
        </w:numPr>
        <w:tabs>
          <w:tab w:val="clear" w:pos="360"/>
        </w:tabs>
        <w:ind w:left="1080"/>
        <w:rPr>
          <w:rFonts w:ascii="Arial" w:hAnsi="Arial"/>
        </w:rPr>
      </w:pPr>
      <w:r>
        <w:rPr>
          <w:rFonts w:ascii="Arial" w:hAnsi="Arial"/>
        </w:rPr>
        <w:t xml:space="preserve">If Yes, provide a description of the additional clearing arrangements that have been made for these products.  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rPr>
          <w:rFonts w:ascii="Arial" w:hAnsi="Arial"/>
        </w:rPr>
      </w:pPr>
    </w:p>
    <w:p w:rsidR="00000000" w:rsidRDefault="00885187" w:rsidP="00D71EBD">
      <w:pPr>
        <w:pStyle w:val="ListBullet"/>
        <w:widowControl/>
        <w:numPr>
          <w:ilvl w:val="0"/>
          <w:numId w:val="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The firm’s intended customer base will be: </w:t>
      </w:r>
    </w:p>
    <w:p w:rsidR="00000000" w:rsidRDefault="00885187" w:rsidP="00D71EBD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080"/>
        <w:rPr>
          <w:rFonts w:ascii="Arial" w:hAnsi="Arial"/>
        </w:rPr>
      </w:pPr>
      <w:r>
        <w:rPr>
          <w:rFonts w:ascii="Arial" w:hAnsi="Arial"/>
        </w:rPr>
        <w:t>Retail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080"/>
        <w:rPr>
          <w:rFonts w:ascii="Arial" w:hAnsi="Arial"/>
        </w:rPr>
      </w:pPr>
      <w:r>
        <w:rPr>
          <w:rFonts w:ascii="Arial" w:hAnsi="Arial"/>
        </w:rPr>
        <w:t>Institutional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080"/>
        <w:rPr>
          <w:rFonts w:ascii="Arial" w:hAnsi="Arial"/>
        </w:rPr>
      </w:pPr>
      <w:r>
        <w:rPr>
          <w:rFonts w:ascii="Arial" w:hAnsi="Arial"/>
        </w:rPr>
        <w:t>Broker/Dealer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2"/>
        <w:widowControl/>
        <w:numPr>
          <w:ilvl w:val="0"/>
          <w:numId w:val="0"/>
        </w:numPr>
        <w:tabs>
          <w:tab w:val="clear" w:pos="360"/>
        </w:tabs>
        <w:ind w:left="1080"/>
        <w:rPr>
          <w:rFonts w:ascii="Arial" w:hAnsi="Arial"/>
        </w:rPr>
      </w:pPr>
      <w:r>
        <w:rPr>
          <w:rFonts w:ascii="Arial" w:hAnsi="Arial"/>
        </w:rPr>
        <w:t>Other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(Attach description)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rPr>
          <w:rFonts w:ascii="Arial" w:hAnsi="Arial"/>
        </w:rPr>
      </w:pPr>
    </w:p>
    <w:p w:rsidR="00000000" w:rsidRDefault="00885187" w:rsidP="00D71EBD">
      <w:pPr>
        <w:pStyle w:val="ListBullet"/>
        <w:widowControl/>
        <w:numPr>
          <w:ilvl w:val="0"/>
          <w:numId w:val="4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Will the firm maintain discretionary accounts? </w:t>
      </w:r>
      <w:r>
        <w:rPr>
          <w:rFonts w:ascii="Arial" w:hAnsi="Arial"/>
        </w:rPr>
        <w:tab/>
        <w:t xml:space="preserve">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4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Will the firm maintain margin accounts?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85187" w:rsidP="00D71EBD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jc w:val="center"/>
        <w:rPr>
          <w:rFonts w:ascii="Arial" w:hAnsi="Arial"/>
          <w:b/>
        </w:rPr>
      </w:pPr>
      <w:r>
        <w:rPr>
          <w:rFonts w:ascii="Arial" w:hAnsi="Arial"/>
          <w:smallCaps/>
        </w:rPr>
        <w:br w:type="page"/>
      </w:r>
      <w:r>
        <w:rPr>
          <w:rFonts w:ascii="Arial" w:hAnsi="Arial"/>
          <w:b/>
          <w:smallCaps/>
        </w:rPr>
        <w:lastRenderedPageBreak/>
        <w:t>Information and Documenta</w:t>
      </w:r>
      <w:r>
        <w:rPr>
          <w:rFonts w:ascii="Arial" w:hAnsi="Arial"/>
          <w:b/>
          <w:smallCaps/>
        </w:rPr>
        <w:t>tion to be Submitted</w:t>
      </w:r>
    </w:p>
    <w:p w:rsidR="00000000" w:rsidRDefault="00885187" w:rsidP="00D71EBD">
      <w:pPr>
        <w:pStyle w:val="ListBullet2"/>
        <w:widowControl/>
        <w:numPr>
          <w:ilvl w:val="0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5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Provide evidence of membership in a clearing corporation (such as the National Securities Clearing Corporation—NSCC) and depository (such as the Depository Trust Corporation—DTC). 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5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State whether and how the firm will execute trades for its own account, for other broker/dealers, and whether there are or will be any payment-for-order -flow arrangements.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5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Provide proof of registration with the Securities Information Center as a “Direct Inquirer” for purposes of the Lost and Stolen Securi</w:t>
      </w:r>
      <w:r>
        <w:rPr>
          <w:rFonts w:ascii="Arial" w:hAnsi="Arial"/>
        </w:rPr>
        <w:t xml:space="preserve">ties Program. 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5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Provide an organization chart indicating names, CRD numbers, and intended responsibilities of key personnel to be assigned to the proposed operations.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5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Provide a draft of notice to customers, documentation of expanded fidelity bond coverage, if needed, and an estimate of monthly customer debit and credit balances.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0"/>
        </w:numPr>
        <w:tabs>
          <w:tab w:val="clear" w:pos="360"/>
        </w:tabs>
        <w:ind w:left="360" w:hanging="36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Systems, Procedures and Recordkeeping Methods</w:t>
      </w:r>
    </w:p>
    <w:p w:rsidR="00000000" w:rsidRDefault="00885187" w:rsidP="00D71EBD">
      <w:pPr>
        <w:pStyle w:val="ListBullet2"/>
        <w:widowControl/>
        <w:numPr>
          <w:ilvl w:val="0"/>
          <w:numId w:val="0"/>
        </w:numPr>
        <w:tabs>
          <w:tab w:val="clear" w:pos="360"/>
        </w:tabs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6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Identify each system, procedure, and recordkeeping method employed to clear and settle transactions (also note what provisions have </w:t>
      </w:r>
      <w:r>
        <w:rPr>
          <w:rFonts w:ascii="Arial" w:hAnsi="Arial"/>
        </w:rPr>
        <w:t>been made if the firm will be clearing and settling trades or have any correspondent relationship for other broker/dealers), addressing specifically how (if applicable):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Trade data is to be received and processed;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Fails are to be identified and processed;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Securities positions are to be updated and maintained;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Margin accounts will be handled and financed;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Customer credits and debits will be handled;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Confirmations will be generated and disbursed;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Transfer items will be handled;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Interest/dividend research is t</w:t>
      </w:r>
      <w:r>
        <w:rPr>
          <w:rFonts w:ascii="Arial" w:hAnsi="Arial"/>
        </w:rPr>
        <w:t>o be handled;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Bank accounts will be used for payments to and collections from customers;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Excesses and deficiencies will be identified;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Reorganizations and corporate actions will be processed;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Escheatment of abandoned property will be handled; 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Tax reporting will take place; and</w:t>
      </w:r>
    </w:p>
    <w:p w:rsidR="00000000" w:rsidRDefault="00885187" w:rsidP="00D71EBD">
      <w:pPr>
        <w:pStyle w:val="ListBullet2"/>
        <w:widowControl/>
        <w:numPr>
          <w:ilvl w:val="0"/>
          <w:numId w:val="7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Securities lending will be managed.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144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8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Provide examples of the blotters and reports to be generated to address the foregoing items (a) through (j) and specify who will provide them (in-house or service bureau) and how often.</w:t>
      </w:r>
      <w:r>
        <w:rPr>
          <w:rFonts w:ascii="Arial" w:hAnsi="Arial"/>
        </w:rPr>
        <w:br w:type="page"/>
      </w:r>
    </w:p>
    <w:p w:rsidR="00000000" w:rsidRDefault="00885187" w:rsidP="00D71EBD">
      <w:pPr>
        <w:pStyle w:val="ListBullet2"/>
        <w:widowControl/>
        <w:numPr>
          <w:ilvl w:val="0"/>
          <w:numId w:val="9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If the fi</w:t>
      </w:r>
      <w:r>
        <w:rPr>
          <w:rFonts w:ascii="Arial" w:hAnsi="Arial"/>
        </w:rPr>
        <w:t>rm plans to use its own in-house computer systems, describe what software is to be used and whether it has been fully adapted and tested (including Year 2000 compatibility) for the anticipated self-clearing processing and reports. In addition, describe the firm’s back-up systems in the event that the firm’s main computer fails.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9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Provide written procedures addressing the firm’s compliance with the possession and control requirements of SEC Rule 15c3-3. 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9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State whether the firm will have direct online access </w:t>
      </w:r>
      <w:r>
        <w:rPr>
          <w:rFonts w:ascii="Arial" w:hAnsi="Arial"/>
        </w:rPr>
        <w:t>to the NASD’s Regulation T and SEC Rule 15c3-3 extension request program.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9"/>
        </w:numPr>
        <w:tabs>
          <w:tab w:val="clear" w:pos="360"/>
        </w:tabs>
        <w:rPr>
          <w:rFonts w:ascii="Arial" w:hAnsi="Arial"/>
          <w:b/>
        </w:rPr>
      </w:pPr>
      <w:r>
        <w:rPr>
          <w:rFonts w:ascii="Arial" w:hAnsi="Arial"/>
        </w:rPr>
        <w:t xml:space="preserve">Describe how securities positions and cash balances will be transferred from the         firm’s current control location to the firm’s new control location. Please provide a copy of the conversion plan. If applicable, please provide a copy of the executed service bureau agreement.  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360" w:hanging="360"/>
        <w:rPr>
          <w:rFonts w:ascii="Arial" w:hAnsi="Arial"/>
          <w:b/>
        </w:rPr>
      </w:pPr>
    </w:p>
    <w:p w:rsidR="00000000" w:rsidRDefault="00885187" w:rsidP="00D71EBD">
      <w:pPr>
        <w:pStyle w:val="ListBullet2"/>
        <w:widowControl/>
        <w:numPr>
          <w:ilvl w:val="0"/>
          <w:numId w:val="9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Provide a copy of the reserve account agreement and/or notification from the bank for purposes of SEC Rule 15c3-3.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  <w:b/>
          <w:smallCaps/>
        </w:rPr>
        <w:t xml:space="preserve">Financial and Operations Principal </w:t>
      </w: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12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>The firm will be required to employ a Series 27 qualified Financial and Operations Principal (FINOP) to compute the firm’s net capital and reserve computations. For the Financial and Operations Principal, provide the following:</w:t>
      </w:r>
    </w:p>
    <w:p w:rsidR="00000000" w:rsidRDefault="00885187" w:rsidP="00D71EBD">
      <w:pPr>
        <w:pStyle w:val="ListBullet"/>
        <w:widowControl/>
        <w:numPr>
          <w:ilvl w:val="0"/>
          <w:numId w:val="1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Name;</w:t>
      </w:r>
    </w:p>
    <w:p w:rsidR="00000000" w:rsidRDefault="00885187" w:rsidP="00D71EBD">
      <w:pPr>
        <w:pStyle w:val="ListBullet"/>
        <w:widowControl/>
        <w:numPr>
          <w:ilvl w:val="0"/>
          <w:numId w:val="1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  <w:b/>
        </w:rPr>
      </w:pPr>
      <w:r>
        <w:rPr>
          <w:rFonts w:ascii="Arial" w:hAnsi="Arial"/>
        </w:rPr>
        <w:t>CRD number; and</w:t>
      </w:r>
    </w:p>
    <w:p w:rsidR="00000000" w:rsidRDefault="00885187" w:rsidP="00D71EBD">
      <w:pPr>
        <w:pStyle w:val="ListBullet"/>
        <w:widowControl/>
        <w:numPr>
          <w:ilvl w:val="0"/>
          <w:numId w:val="1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  <w:b/>
        </w:rPr>
      </w:pPr>
      <w:r>
        <w:rPr>
          <w:rFonts w:ascii="Arial" w:hAnsi="Arial"/>
        </w:rPr>
        <w:t>Description of prior work experience including where such experience was obtained (including whether any such employers were also self-clearing broker/dealers), in what capacity the proposed FINOP functioned, the time periods involved and to whom the proposed F</w:t>
      </w:r>
      <w:r>
        <w:rPr>
          <w:rFonts w:ascii="Arial" w:hAnsi="Arial"/>
        </w:rPr>
        <w:t xml:space="preserve">INOP reported at such firms. </w:t>
      </w:r>
    </w:p>
    <w:p w:rsidR="00000000" w:rsidRDefault="00885187" w:rsidP="00D71EBD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  <w:b/>
          <w:smallCaps/>
        </w:rPr>
      </w:pPr>
    </w:p>
    <w:p w:rsidR="00000000" w:rsidRDefault="00885187" w:rsidP="00D71EBD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  <w:b/>
        </w:rPr>
      </w:pPr>
      <w:r>
        <w:rPr>
          <w:rFonts w:ascii="Arial" w:hAnsi="Arial"/>
          <w:b/>
          <w:smallCaps/>
        </w:rPr>
        <w:t>Back Office Personnel</w:t>
      </w:r>
    </w:p>
    <w:p w:rsidR="00000000" w:rsidRDefault="00885187" w:rsidP="00D71EBD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1800"/>
        <w:rPr>
          <w:rFonts w:ascii="Arial" w:hAnsi="Arial"/>
          <w:b/>
        </w:rPr>
      </w:pPr>
    </w:p>
    <w:p w:rsidR="00000000" w:rsidRDefault="00885187" w:rsidP="00D71EBD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/>
        <w:rPr>
          <w:rFonts w:ascii="Arial" w:hAnsi="Arial"/>
          <w:b/>
        </w:rPr>
      </w:pPr>
      <w:r>
        <w:rPr>
          <w:rFonts w:ascii="Arial" w:hAnsi="Arial"/>
        </w:rPr>
        <w:t xml:space="preserve">Similar to the description provided for the proposed FINOP, please describe the experience of any other individuals responsible for operating the firm’s back-office as it relates to a self-clearing broker/dealer, including any prior experience at other self-clearing firms. </w:t>
      </w:r>
    </w:p>
    <w:p w:rsidR="00000000" w:rsidRDefault="00885187" w:rsidP="00D71EBD">
      <w:pPr>
        <w:pStyle w:val="ListBullet2"/>
        <w:widowControl/>
        <w:numPr>
          <w:ilvl w:val="0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85187" w:rsidP="00D71EBD">
      <w:pPr>
        <w:pStyle w:val="ListBullet2"/>
        <w:widowControl/>
        <w:numPr>
          <w:ilvl w:val="0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  <w:r>
        <w:rPr>
          <w:rFonts w:ascii="Arial" w:hAnsi="Arial"/>
          <w:b/>
          <w:smallCaps/>
        </w:rPr>
        <w:t>Sample Books and Records</w:t>
      </w:r>
    </w:p>
    <w:p w:rsidR="00000000" w:rsidRDefault="00885187" w:rsidP="00D71EBD">
      <w:pPr>
        <w:pStyle w:val="ListBullet2"/>
        <w:widowControl/>
        <w:numPr>
          <w:ilvl w:val="0"/>
          <w:numId w:val="0"/>
        </w:numPr>
        <w:tabs>
          <w:tab w:val="clear" w:pos="360"/>
        </w:tabs>
        <w:ind w:left="360" w:hanging="360"/>
        <w:rPr>
          <w:rFonts w:ascii="Arial" w:hAnsi="Arial"/>
        </w:rPr>
      </w:pPr>
    </w:p>
    <w:p w:rsidR="00885187" w:rsidRDefault="00885187" w:rsidP="00D71EBD">
      <w:pPr>
        <w:pStyle w:val="ListBullet2"/>
        <w:widowControl/>
        <w:numPr>
          <w:ilvl w:val="0"/>
          <w:numId w:val="0"/>
        </w:numPr>
        <w:tabs>
          <w:tab w:val="clear" w:pos="360"/>
        </w:tabs>
        <w:ind w:left="360"/>
        <w:rPr>
          <w:rFonts w:ascii="Arial" w:hAnsi="Arial"/>
        </w:rPr>
      </w:pPr>
      <w:r>
        <w:rPr>
          <w:rFonts w:ascii="Arial" w:hAnsi="Arial"/>
        </w:rPr>
        <w:t>Provide samples of the books and records required to be kept by self-clearing firms, including but not limited to a pro forma stock record, Customer Reserve</w:t>
      </w:r>
      <w:r>
        <w:rPr>
          <w:rFonts w:ascii="Arial" w:hAnsi="Arial"/>
        </w:rPr>
        <w:t xml:space="preserve"> Formula, trial balance (with supports), and net capital computation as of the first day that self-clearing becomes effective. </w:t>
      </w:r>
    </w:p>
    <w:sectPr w:rsidR="00885187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0" w:h="15840"/>
      <w:pgMar w:top="72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87" w:rsidRDefault="00885187">
      <w:r>
        <w:separator/>
      </w:r>
    </w:p>
  </w:endnote>
  <w:endnote w:type="continuationSeparator" w:id="0">
    <w:p w:rsidR="00885187" w:rsidRDefault="0088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5187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000000" w:rsidRDefault="00885187">
    <w:pPr>
      <w:pStyle w:val="Footer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5187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1EBD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885187">
    <w:pPr>
      <w:pStyle w:val="Footer"/>
      <w:widowControl/>
      <w:rPr>
        <w:b/>
      </w:rPr>
    </w:pPr>
    <w:r>
      <w:rPr>
        <w:b/>
      </w:rPr>
      <w:t>Version: 12-99</w:t>
    </w:r>
  </w:p>
  <w:p w:rsidR="00000000" w:rsidRDefault="00885187">
    <w:pPr>
      <w:pStyle w:val="Footer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87" w:rsidRDefault="00885187">
      <w:r>
        <w:separator/>
      </w:r>
    </w:p>
  </w:footnote>
  <w:footnote w:type="continuationSeparator" w:id="0">
    <w:p w:rsidR="00885187" w:rsidRDefault="00885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5187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72A"/>
    <w:multiLevelType w:val="singleLevel"/>
    <w:tmpl w:val="13AAA28A"/>
    <w:lvl w:ilvl="0">
      <w:start w:val="1"/>
      <w:numFmt w:val="lowerRoman"/>
      <w:lvlText w:val="%1. "/>
      <w:legacy w:legacy="1" w:legacySpace="0" w:legacyIndent="360"/>
      <w:lvlJc w:val="left"/>
      <w:pPr>
        <w:ind w:left="21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">
    <w:nsid w:val="379336EA"/>
    <w:multiLevelType w:val="singleLevel"/>
    <w:tmpl w:val="5ED8D88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2">
    <w:nsid w:val="419D6CD4"/>
    <w:multiLevelType w:val="singleLevel"/>
    <w:tmpl w:val="B3D46F70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3">
    <w:nsid w:val="52E20157"/>
    <w:multiLevelType w:val="singleLevel"/>
    <w:tmpl w:val="2716D09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4">
    <w:nsid w:val="6287287A"/>
    <w:multiLevelType w:val="singleLevel"/>
    <w:tmpl w:val="5ED8D88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5">
    <w:nsid w:val="7A7E1969"/>
    <w:multiLevelType w:val="singleLevel"/>
    <w:tmpl w:val="5ED8D88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6">
    <w:nsid w:val="7E1832E8"/>
    <w:multiLevelType w:val="singleLevel"/>
    <w:tmpl w:val="5ED8D88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7">
    <w:nsid w:val="7E3A4157"/>
    <w:multiLevelType w:val="singleLevel"/>
    <w:tmpl w:val="AD3AF6E8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6"/>
  </w:num>
  <w:num w:numId="2">
    <w:abstractNumId w:val="6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  <w:b w:val="0"/>
          <w:i w:val="0"/>
          <w:sz w:val="24"/>
          <w:u w:val="none"/>
        </w:rPr>
      </w:lvl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  <w:b w:val="0"/>
          <w:i w:val="0"/>
          <w:sz w:val="24"/>
          <w:u w:val="none"/>
        </w:r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BD"/>
    <w:rsid w:val="00885187"/>
    <w:rsid w:val="00D7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COMMUNICATION NETWORKS (ECNs)</vt:lpstr>
    </vt:vector>
  </TitlesOfParts>
  <Company>NASD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COMMUNICATION NETWORKS (ECNs)</dc:title>
  <dc:creator>Microsoft Office User</dc:creator>
  <cp:lastModifiedBy>Bruns, Don</cp:lastModifiedBy>
  <cp:revision>2</cp:revision>
  <cp:lastPrinted>2000-02-14T15:05:00Z</cp:lastPrinted>
  <dcterms:created xsi:type="dcterms:W3CDTF">2014-07-23T18:27:00Z</dcterms:created>
  <dcterms:modified xsi:type="dcterms:W3CDTF">2014-07-23T18:27:00Z</dcterms:modified>
</cp:coreProperties>
</file>