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36DAA">
      <w:pPr>
        <w:pStyle w:val="Heading1"/>
        <w:widowControl/>
        <w:jc w:val="center"/>
        <w:rPr>
          <w:b w:val="0"/>
          <w:sz w:val="24"/>
        </w:rPr>
      </w:pPr>
      <w:bookmarkStart w:id="0" w:name="_GoBack"/>
      <w:bookmarkEnd w:id="0"/>
      <w:r>
        <w:rPr>
          <w:b w:val="0"/>
          <w:smallCaps/>
          <w:sz w:val="24"/>
        </w:rPr>
        <w:t>Member Information for Proposed Business Expansion</w:t>
      </w:r>
    </w:p>
    <w:p w:rsidR="00000000" w:rsidRDefault="00736DAA">
      <w:pPr>
        <w:pStyle w:val="Heading3"/>
      </w:pPr>
      <w:r>
        <w:rPr>
          <w:sz w:val="28"/>
        </w:rPr>
        <w:t>MARKET MAKING/PRINCIPAL TRADING</w:t>
      </w:r>
      <w:r>
        <w:t xml:space="preserve"> </w:t>
      </w:r>
    </w:p>
    <w:p w:rsidR="00000000" w:rsidRDefault="00736DAA" w:rsidP="005A4F49">
      <w:pPr>
        <w:pStyle w:val="ListBullet"/>
        <w:widowControl/>
        <w:numPr>
          <w:ilvl w:val="0"/>
          <w:numId w:val="0"/>
        </w:numPr>
        <w:pBdr>
          <w:bottom w:val="none" w:sz="0" w:space="0" w:color="auto"/>
        </w:pBdr>
        <w:tabs>
          <w:tab w:val="clear" w:pos="360"/>
        </w:tabs>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736DAA" w:rsidP="005A4F49">
            <w:pPr>
              <w:pStyle w:val="ListBullet"/>
              <w:widowControl/>
              <w:numPr>
                <w:ilvl w:val="0"/>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Member Firm: </w:t>
            </w:r>
            <w:r>
              <w:rPr>
                <w:rFonts w:ascii="Arial" w:hAnsi="Arial"/>
              </w:rPr>
              <w:tab/>
            </w:r>
            <w:r>
              <w:rPr>
                <w:rFonts w:ascii="Arial" w:hAnsi="Arial"/>
              </w:rPr>
              <w:tab/>
              <w:t>__________________________________________</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Contact Person: </w:t>
            </w:r>
            <w:r>
              <w:rPr>
                <w:rFonts w:ascii="Arial" w:hAnsi="Arial"/>
              </w:rPr>
              <w:tab/>
            </w:r>
            <w:r>
              <w:rPr>
                <w:rFonts w:ascii="Arial" w:hAnsi="Arial"/>
              </w:rPr>
              <w:tab/>
              <w:t>__________________________________________</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0"/>
              </w:numPr>
              <w:pBdr>
                <w:bottom w:val="none" w:sz="0" w:space="0" w:color="auto"/>
              </w:pBdr>
              <w:tabs>
                <w:tab w:val="clear" w:pos="360"/>
              </w:tabs>
              <w:rPr>
                <w:rFonts w:ascii="Arial" w:hAnsi="Arial"/>
              </w:rPr>
            </w:pPr>
            <w:r>
              <w:rPr>
                <w:rFonts w:ascii="Arial" w:hAnsi="Arial"/>
              </w:rPr>
              <w:t>Address:</w:t>
            </w:r>
            <w:r>
              <w:rPr>
                <w:rFonts w:ascii="Arial" w:hAnsi="Arial"/>
              </w:rPr>
              <w:tab/>
            </w:r>
            <w:r>
              <w:rPr>
                <w:rFonts w:ascii="Arial" w:hAnsi="Arial"/>
              </w:rPr>
              <w:tab/>
            </w:r>
            <w:r>
              <w:rPr>
                <w:rFonts w:ascii="Arial" w:hAnsi="Arial"/>
              </w:rPr>
              <w:tab/>
              <w:t>__________________________________________</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0"/>
              </w:numPr>
              <w:pBdr>
                <w:bottom w:val="none" w:sz="0" w:space="0" w:color="auto"/>
              </w:pBdr>
              <w:tabs>
                <w:tab w:val="clear" w:pos="360"/>
              </w:tabs>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__________________________________________</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Name of Person </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Completing This Form: </w:t>
            </w:r>
            <w:r>
              <w:rPr>
                <w:rFonts w:ascii="Arial" w:hAnsi="Arial"/>
              </w:rPr>
              <w:tab/>
              <w:t>_________</w:t>
            </w:r>
            <w:r>
              <w:rPr>
                <w:rFonts w:ascii="Arial" w:hAnsi="Arial"/>
              </w:rPr>
              <w:t>_________________________________</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p>
        </w:tc>
      </w:tr>
    </w:tbl>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sz w:val="26"/>
        </w:rPr>
      </w:pPr>
    </w:p>
    <w:p w:rsidR="00000000" w:rsidRDefault="00736DAA" w:rsidP="005A4F49">
      <w:pPr>
        <w:pStyle w:val="ListBullet"/>
        <w:widowControl/>
        <w:numPr>
          <w:ilvl w:val="0"/>
          <w:numId w:val="1"/>
        </w:numPr>
        <w:pBdr>
          <w:bottom w:val="none" w:sz="0" w:space="0" w:color="auto"/>
        </w:pBdr>
        <w:tabs>
          <w:tab w:val="clear" w:pos="360"/>
        </w:tabs>
        <w:rPr>
          <w:rFonts w:ascii="Arial" w:hAnsi="Arial"/>
        </w:rPr>
      </w:pPr>
      <w:r>
        <w:rPr>
          <w:rFonts w:ascii="Arial" w:hAnsi="Arial"/>
        </w:rPr>
        <w:t>The firm intends to make markets/principal trade in the following types of securities (check all that apply):</w:t>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Nasdaq National Market</w:t>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Nasdaq Small Cap</w:t>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OTC Bulletin Board</w:t>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Other non-Nasdaq OTC</w:t>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Listed Third Market</w:t>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Other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 xml:space="preserve"> (Attach description)</w:t>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p>
    <w:p w:rsidR="00000000" w:rsidRDefault="00736DAA" w:rsidP="005A4F49">
      <w:pPr>
        <w:pStyle w:val="ListBullet"/>
        <w:widowControl/>
        <w:numPr>
          <w:ilvl w:val="0"/>
          <w:numId w:val="2"/>
        </w:numPr>
        <w:pBdr>
          <w:bottom w:val="none" w:sz="0" w:space="0" w:color="auto"/>
        </w:pBdr>
        <w:tabs>
          <w:tab w:val="clear" w:pos="360"/>
        </w:tabs>
        <w:rPr>
          <w:rFonts w:ascii="Arial" w:hAnsi="Arial"/>
        </w:rPr>
      </w:pPr>
      <w:r>
        <w:rPr>
          <w:rFonts w:ascii="Arial" w:hAnsi="Arial"/>
        </w:rPr>
        <w:t>State the total number of securities in which the firm intends to make markets/principal trade: _____________</w:t>
      </w:r>
    </w:p>
    <w:p w:rsidR="00000000" w:rsidRDefault="00736DAA" w:rsidP="005A4F49">
      <w:pPr>
        <w:pStyle w:val="ListBullet"/>
        <w:widowControl/>
        <w:numPr>
          <w:ilvl w:val="0"/>
          <w:numId w:val="0"/>
        </w:numPr>
        <w:pBdr>
          <w:bottom w:val="none" w:sz="0" w:space="0" w:color="auto"/>
        </w:pBdr>
        <w:tabs>
          <w:tab w:val="clear" w:pos="360"/>
        </w:tabs>
        <w:ind w:left="360"/>
        <w:rPr>
          <w:rFonts w:ascii="Arial" w:hAnsi="Arial"/>
        </w:rPr>
      </w:pPr>
      <w:r>
        <w:rPr>
          <w:rFonts w:ascii="Arial" w:hAnsi="Arial"/>
          <w:i/>
        </w:rPr>
        <w:t>(Note: Different components [stock, units, warrants, etc.] are counted as separate securities for marke</w:t>
      </w:r>
      <w:r>
        <w:rPr>
          <w:rFonts w:ascii="Arial" w:hAnsi="Arial"/>
          <w:i/>
        </w:rPr>
        <w:t xml:space="preserve">t-making/principal trading purposes.) </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3"/>
        </w:numPr>
        <w:pBdr>
          <w:bottom w:val="none" w:sz="0" w:space="0" w:color="auto"/>
        </w:pBdr>
        <w:tabs>
          <w:tab w:val="clear" w:pos="360"/>
        </w:tabs>
        <w:rPr>
          <w:rFonts w:ascii="Arial" w:hAnsi="Arial"/>
        </w:rPr>
      </w:pPr>
      <w:r>
        <w:rPr>
          <w:rFonts w:ascii="Arial" w:hAnsi="Arial"/>
        </w:rPr>
        <w:t xml:space="preserve">The firm will conduct the proposed market making activity on the following basis: </w:t>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Retail</w:t>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Wholesale (i.e., inter-dealer) </w:t>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Integrated (both)</w:t>
      </w:r>
      <w:r>
        <w:rPr>
          <w:rFonts w:ascii="Arial" w:hAnsi="Arial"/>
        </w:rPr>
        <w:tab/>
      </w:r>
      <w:r>
        <w:rPr>
          <w:rFonts w:ascii="Arial" w:hAnsi="Arial"/>
        </w:rPr>
        <w:tab/>
      </w:r>
      <w:r>
        <w:rPr>
          <w:rFonts w:ascii="Arial" w:hAnsi="Arial"/>
        </w:rPr>
        <w:tab/>
      </w:r>
      <w:r>
        <w:rPr>
          <w:rFonts w:ascii="Arial" w:hAnsi="Arial"/>
        </w:rPr>
        <w:sym w:font="Kino MT" w:char="007F"/>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p>
    <w:p w:rsidR="00000000" w:rsidRDefault="00736DAA" w:rsidP="005A4F49">
      <w:pPr>
        <w:pStyle w:val="ListBullet"/>
        <w:widowControl/>
        <w:numPr>
          <w:ilvl w:val="0"/>
          <w:numId w:val="4"/>
        </w:numPr>
        <w:pBdr>
          <w:bottom w:val="none" w:sz="0" w:space="0" w:color="auto"/>
        </w:pBdr>
        <w:tabs>
          <w:tab w:val="clear" w:pos="360"/>
        </w:tabs>
        <w:rPr>
          <w:rFonts w:ascii="Arial" w:hAnsi="Arial"/>
        </w:rPr>
      </w:pPr>
      <w:r>
        <w:rPr>
          <w:rFonts w:ascii="Arial" w:hAnsi="Arial"/>
        </w:rPr>
        <w:t xml:space="preserve">For the proposed principal trading activities, does the firm intend to principal trade with its retail customers: Yes:    </w:t>
      </w:r>
      <w:r>
        <w:rPr>
          <w:rFonts w:ascii="Arial" w:hAnsi="Arial"/>
        </w:rPr>
        <w:sym w:font="Kino MT" w:char="0090"/>
      </w:r>
      <w:r>
        <w:rPr>
          <w:rFonts w:ascii="Arial" w:hAnsi="Arial"/>
        </w:rPr>
        <w:t xml:space="preserve">  No:    </w:t>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5"/>
        </w:numPr>
        <w:pBdr>
          <w:bottom w:val="none" w:sz="0" w:space="0" w:color="auto"/>
        </w:pBdr>
        <w:tabs>
          <w:tab w:val="clear" w:pos="360"/>
        </w:tabs>
        <w:rPr>
          <w:rFonts w:ascii="Arial" w:hAnsi="Arial"/>
        </w:rPr>
      </w:pPr>
      <w:r>
        <w:rPr>
          <w:rFonts w:ascii="Arial" w:hAnsi="Arial"/>
        </w:rPr>
        <w:t xml:space="preserve">The firm intends to utilize the following number and level of Nasdaq workstations: </w:t>
      </w:r>
    </w:p>
    <w:p w:rsidR="00000000" w:rsidRDefault="00736DAA" w:rsidP="005A4F49">
      <w:pPr>
        <w:pStyle w:val="ListBullet"/>
        <w:widowControl/>
        <w:numPr>
          <w:ilvl w:val="12"/>
          <w:numId w:val="0"/>
        </w:numPr>
        <w:pBdr>
          <w:bottom w:val="none" w:sz="0" w:space="0" w:color="auto"/>
        </w:pBdr>
        <w:tabs>
          <w:tab w:val="clear" w:pos="360"/>
        </w:tabs>
        <w:ind w:left="1440"/>
        <w:rPr>
          <w:rFonts w:ascii="Arial" w:hAnsi="Arial"/>
        </w:rPr>
      </w:pPr>
      <w:r>
        <w:rPr>
          <w:rFonts w:ascii="Arial" w:hAnsi="Arial"/>
          <w:u w:val="single"/>
        </w:rPr>
        <w:t>Level</w:t>
      </w:r>
      <w:r>
        <w:rPr>
          <w:rFonts w:ascii="Arial" w:hAnsi="Arial"/>
        </w:rPr>
        <w:tab/>
      </w:r>
      <w:r>
        <w:rPr>
          <w:rFonts w:ascii="Arial" w:hAnsi="Arial"/>
        </w:rPr>
        <w:tab/>
      </w:r>
      <w:r>
        <w:rPr>
          <w:rFonts w:ascii="Arial" w:hAnsi="Arial"/>
          <w:u w:val="single"/>
        </w:rPr>
        <w:t>No. of Workstations</w:t>
      </w:r>
    </w:p>
    <w:p w:rsidR="00000000" w:rsidRDefault="00736DAA" w:rsidP="005A4F49">
      <w:pPr>
        <w:pStyle w:val="ListBullet"/>
        <w:widowControl/>
        <w:numPr>
          <w:ilvl w:val="12"/>
          <w:numId w:val="0"/>
        </w:numPr>
        <w:pBdr>
          <w:bottom w:val="none" w:sz="0" w:space="0" w:color="auto"/>
        </w:pBdr>
        <w:tabs>
          <w:tab w:val="clear" w:pos="360"/>
        </w:tabs>
        <w:ind w:left="1440"/>
        <w:rPr>
          <w:rFonts w:ascii="Arial" w:hAnsi="Arial"/>
        </w:rPr>
      </w:pPr>
      <w:r>
        <w:rPr>
          <w:rFonts w:ascii="Arial" w:hAnsi="Arial"/>
        </w:rPr>
        <w:t>Level 1</w:t>
      </w:r>
      <w:r>
        <w:rPr>
          <w:rFonts w:ascii="Arial" w:hAnsi="Arial"/>
        </w:rPr>
        <w:tab/>
      </w:r>
      <w:r>
        <w:rPr>
          <w:rFonts w:ascii="Arial" w:hAnsi="Arial"/>
        </w:rPr>
        <w:tab/>
      </w:r>
      <w:r>
        <w:rPr>
          <w:rFonts w:ascii="Arial" w:hAnsi="Arial"/>
        </w:rPr>
        <w:tab/>
        <w:t>_____</w:t>
      </w:r>
    </w:p>
    <w:p w:rsidR="00000000" w:rsidRDefault="00736DAA" w:rsidP="005A4F49">
      <w:pPr>
        <w:pStyle w:val="ListBullet"/>
        <w:widowControl/>
        <w:numPr>
          <w:ilvl w:val="12"/>
          <w:numId w:val="0"/>
        </w:numPr>
        <w:pBdr>
          <w:bottom w:val="none" w:sz="0" w:space="0" w:color="auto"/>
        </w:pBdr>
        <w:tabs>
          <w:tab w:val="clear" w:pos="360"/>
        </w:tabs>
        <w:ind w:left="1440"/>
        <w:rPr>
          <w:rFonts w:ascii="Arial" w:hAnsi="Arial"/>
        </w:rPr>
      </w:pPr>
      <w:r>
        <w:rPr>
          <w:rFonts w:ascii="Arial" w:hAnsi="Arial"/>
        </w:rPr>
        <w:t>Level 2</w:t>
      </w:r>
      <w:r>
        <w:rPr>
          <w:rFonts w:ascii="Arial" w:hAnsi="Arial"/>
        </w:rPr>
        <w:tab/>
      </w:r>
      <w:r>
        <w:rPr>
          <w:rFonts w:ascii="Arial" w:hAnsi="Arial"/>
        </w:rPr>
        <w:tab/>
      </w:r>
      <w:r>
        <w:rPr>
          <w:rFonts w:ascii="Arial" w:hAnsi="Arial"/>
        </w:rPr>
        <w:tab/>
        <w:t>_____</w:t>
      </w:r>
    </w:p>
    <w:p w:rsidR="00000000" w:rsidRDefault="00736DAA" w:rsidP="005A4F49">
      <w:pPr>
        <w:pStyle w:val="ListBullet"/>
        <w:widowControl/>
        <w:numPr>
          <w:ilvl w:val="12"/>
          <w:numId w:val="0"/>
        </w:numPr>
        <w:pBdr>
          <w:bottom w:val="none" w:sz="0" w:space="0" w:color="auto"/>
        </w:pBdr>
        <w:tabs>
          <w:tab w:val="clear" w:pos="360"/>
        </w:tabs>
        <w:ind w:left="1440"/>
        <w:rPr>
          <w:rFonts w:ascii="Arial" w:hAnsi="Arial"/>
        </w:rPr>
      </w:pPr>
      <w:r>
        <w:rPr>
          <w:rFonts w:ascii="Arial" w:hAnsi="Arial"/>
        </w:rPr>
        <w:t>Level 3</w:t>
      </w:r>
      <w:r>
        <w:rPr>
          <w:rFonts w:ascii="Arial" w:hAnsi="Arial"/>
        </w:rPr>
        <w:tab/>
      </w:r>
      <w:r>
        <w:rPr>
          <w:rFonts w:ascii="Arial" w:hAnsi="Arial"/>
        </w:rPr>
        <w:tab/>
      </w:r>
      <w:r>
        <w:rPr>
          <w:rFonts w:ascii="Arial" w:hAnsi="Arial"/>
        </w:rPr>
        <w:tab/>
        <w:t>_____</w:t>
      </w:r>
    </w:p>
    <w:p w:rsidR="00000000" w:rsidRDefault="00736DAA" w:rsidP="005A4F49">
      <w:pPr>
        <w:pStyle w:val="ListBullet"/>
        <w:widowControl/>
        <w:numPr>
          <w:ilvl w:val="12"/>
          <w:numId w:val="0"/>
        </w:numPr>
        <w:pBdr>
          <w:bottom w:val="none" w:sz="0" w:space="0" w:color="auto"/>
        </w:pBdr>
        <w:tabs>
          <w:tab w:val="clear" w:pos="360"/>
        </w:tabs>
        <w:rPr>
          <w:rFonts w:ascii="Arial" w:hAnsi="Arial"/>
        </w:rPr>
      </w:pPr>
      <w:r>
        <w:rPr>
          <w:rFonts w:ascii="Arial" w:hAnsi="Arial"/>
        </w:rPr>
        <w:br w:type="page"/>
      </w:r>
    </w:p>
    <w:p w:rsidR="00000000" w:rsidRDefault="00736DAA" w:rsidP="005A4F49">
      <w:pPr>
        <w:pStyle w:val="ListBullet"/>
        <w:widowControl/>
        <w:numPr>
          <w:ilvl w:val="0"/>
          <w:numId w:val="4"/>
        </w:numPr>
        <w:pBdr>
          <w:bottom w:val="none" w:sz="0" w:space="0" w:color="auto"/>
        </w:pBdr>
        <w:tabs>
          <w:tab w:val="clear" w:pos="360"/>
        </w:tabs>
        <w:rPr>
          <w:rFonts w:ascii="Arial" w:hAnsi="Arial"/>
        </w:rPr>
      </w:pPr>
      <w:r>
        <w:rPr>
          <w:rFonts w:ascii="Arial" w:hAnsi="Arial"/>
        </w:rPr>
        <w:t>The firm intends to subs</w:t>
      </w:r>
      <w:r>
        <w:rPr>
          <w:rFonts w:ascii="Arial" w:hAnsi="Arial"/>
        </w:rPr>
        <w:t xml:space="preserve">cribe/participate (or already subscribes/participates) in the following Nasdaq Services (check all that apply): </w:t>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Advanced Computerized Execution System (ACES)</w:t>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Automated Confirmation Transaction Service (ACT)</w:t>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CAES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CQS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ITS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ITS/CAES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Mutual Fund Pricing System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Small Order Execution System (SOES) </w:t>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SelectNet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Other (Attach description)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36DAA" w:rsidP="005A4F49">
      <w:pPr>
        <w:pStyle w:val="ListBullet"/>
        <w:widowControl/>
        <w:numPr>
          <w:ilvl w:val="12"/>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5"/>
        </w:numPr>
        <w:pBdr>
          <w:bottom w:val="none" w:sz="0" w:space="0" w:color="auto"/>
        </w:pBdr>
        <w:tabs>
          <w:tab w:val="clear" w:pos="360"/>
        </w:tabs>
        <w:rPr>
          <w:rFonts w:ascii="Arial" w:hAnsi="Arial"/>
        </w:rPr>
      </w:pPr>
      <w:r>
        <w:rPr>
          <w:rFonts w:ascii="Arial" w:hAnsi="Arial"/>
        </w:rPr>
        <w:t>Will the firm impose any daily securities trading and/or position limits on its trader(s) with respect to the firm</w:t>
      </w:r>
      <w:r>
        <w:rPr>
          <w:rFonts w:ascii="Arial" w:hAnsi="Arial"/>
        </w:rPr>
        <w:t>’s proposed market making/principal trading?</w:t>
      </w:r>
    </w:p>
    <w:p w:rsidR="00000000" w:rsidRDefault="00736DAA" w:rsidP="005A4F49">
      <w:pPr>
        <w:pStyle w:val="ListBullet"/>
        <w:widowControl/>
        <w:numPr>
          <w:ilvl w:val="0"/>
          <w:numId w:val="0"/>
        </w:numPr>
        <w:pBdr>
          <w:bottom w:val="none" w:sz="0" w:space="0" w:color="auto"/>
        </w:pBdr>
        <w:tabs>
          <w:tab w:val="clear" w:pos="360"/>
        </w:tabs>
        <w:ind w:firstLine="720"/>
        <w:rPr>
          <w:rFonts w:ascii="Arial" w:hAnsi="Arial"/>
        </w:rPr>
      </w:pPr>
      <w:r>
        <w:rPr>
          <w:rFonts w:ascii="Arial" w:hAnsi="Arial"/>
        </w:rPr>
        <w:tab/>
        <w:t xml:space="preserve">Yes:    </w:t>
      </w:r>
      <w:r>
        <w:rPr>
          <w:rFonts w:ascii="Arial" w:hAnsi="Arial"/>
        </w:rPr>
        <w:sym w:font="Kino MT" w:char="0090"/>
      </w:r>
      <w:r>
        <w:rPr>
          <w:rFonts w:ascii="Arial" w:hAnsi="Arial"/>
        </w:rPr>
        <w:t xml:space="preserve">  No:    </w:t>
      </w:r>
      <w:r>
        <w:rPr>
          <w:rFonts w:ascii="Arial" w:hAnsi="Arial"/>
        </w:rPr>
        <w:sym w:font="Kino MT" w:char="0090"/>
      </w:r>
    </w:p>
    <w:p w:rsidR="00000000" w:rsidRDefault="00736DAA" w:rsidP="005A4F49">
      <w:pPr>
        <w:pStyle w:val="ListBullet"/>
        <w:widowControl/>
        <w:numPr>
          <w:ilvl w:val="0"/>
          <w:numId w:val="0"/>
        </w:numPr>
        <w:pBdr>
          <w:bottom w:val="none" w:sz="0" w:space="0" w:color="auto"/>
        </w:pBdr>
        <w:tabs>
          <w:tab w:val="clear" w:pos="360"/>
        </w:tabs>
        <w:ind w:firstLine="720"/>
        <w:rPr>
          <w:rFonts w:ascii="Arial" w:hAnsi="Arial"/>
        </w:rPr>
      </w:pPr>
    </w:p>
    <w:p w:rsidR="00000000" w:rsidRDefault="00736DAA" w:rsidP="005A4F49">
      <w:pPr>
        <w:pStyle w:val="ListBullet"/>
        <w:widowControl/>
        <w:numPr>
          <w:ilvl w:val="0"/>
          <w:numId w:val="0"/>
        </w:numPr>
        <w:pBdr>
          <w:bottom w:val="none" w:sz="0" w:space="0" w:color="auto"/>
        </w:pBdr>
        <w:tabs>
          <w:tab w:val="clear" w:pos="360"/>
        </w:tabs>
        <w:ind w:firstLine="720"/>
        <w:rPr>
          <w:rFonts w:ascii="Arial" w:hAnsi="Arial"/>
        </w:rPr>
      </w:pPr>
      <w:r>
        <w:rPr>
          <w:rFonts w:ascii="Arial" w:hAnsi="Arial"/>
        </w:rPr>
        <w:t xml:space="preserve"> </w:t>
      </w:r>
      <w:r>
        <w:rPr>
          <w:rFonts w:ascii="Arial" w:hAnsi="Arial"/>
        </w:rPr>
        <w:tab/>
        <w:t xml:space="preserve">If yes, indicate the location of these procedures in the firm’s WSPs </w:t>
      </w:r>
    </w:p>
    <w:p w:rsidR="00000000" w:rsidRDefault="00736DAA" w:rsidP="005A4F49">
      <w:pPr>
        <w:pStyle w:val="ListBullet"/>
        <w:widowControl/>
        <w:numPr>
          <w:ilvl w:val="0"/>
          <w:numId w:val="0"/>
        </w:numPr>
        <w:pBdr>
          <w:bottom w:val="none" w:sz="0" w:space="0" w:color="auto"/>
        </w:pBdr>
        <w:tabs>
          <w:tab w:val="clear" w:pos="360"/>
        </w:tabs>
        <w:ind w:left="720" w:firstLine="720"/>
        <w:rPr>
          <w:rFonts w:ascii="Arial" w:hAnsi="Arial"/>
        </w:rPr>
      </w:pPr>
      <w:r>
        <w:rPr>
          <w:rFonts w:ascii="Arial" w:hAnsi="Arial"/>
        </w:rPr>
        <w:t>pages _______ to _______.</w:t>
      </w: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rPr>
      </w:pPr>
    </w:p>
    <w:p w:rsidR="00000000" w:rsidRDefault="00736DAA" w:rsidP="005A4F49">
      <w:pPr>
        <w:pStyle w:val="ListBullet"/>
        <w:widowControl/>
        <w:numPr>
          <w:ilvl w:val="0"/>
          <w:numId w:val="0"/>
        </w:numPr>
        <w:pBdr>
          <w:bottom w:val="none" w:sz="0" w:space="0" w:color="auto"/>
        </w:pBdr>
        <w:tabs>
          <w:tab w:val="clear" w:pos="360"/>
        </w:tabs>
        <w:ind w:left="360" w:hanging="360"/>
        <w:jc w:val="center"/>
        <w:rPr>
          <w:rFonts w:ascii="Arial" w:hAnsi="Arial"/>
          <w:b/>
        </w:rPr>
      </w:pPr>
      <w:r>
        <w:rPr>
          <w:rFonts w:ascii="Arial" w:hAnsi="Arial"/>
          <w:smallCaps/>
        </w:rPr>
        <w:br w:type="page"/>
      </w:r>
      <w:r>
        <w:rPr>
          <w:rFonts w:ascii="Arial" w:hAnsi="Arial"/>
          <w:b/>
          <w:smallCaps/>
        </w:rPr>
        <w:lastRenderedPageBreak/>
        <w:t>Information and Documentation to be Submitted</w:t>
      </w: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b/>
          <w:smallCaps/>
        </w:rPr>
      </w:pP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rPr>
      </w:pPr>
      <w:r>
        <w:rPr>
          <w:rFonts w:ascii="Arial" w:hAnsi="Arial"/>
          <w:b/>
          <w:smallCaps/>
        </w:rPr>
        <w:t xml:space="preserve">Workstation Access </w:t>
      </w:r>
    </w:p>
    <w:p w:rsidR="00000000" w:rsidRDefault="00736DAA" w:rsidP="005A4F49">
      <w:pPr>
        <w:pStyle w:val="ListBullet"/>
        <w:widowControl/>
        <w:numPr>
          <w:ilvl w:val="0"/>
          <w:numId w:val="0"/>
        </w:numPr>
        <w:pBdr>
          <w:bottom w:val="none" w:sz="0" w:space="0" w:color="auto"/>
        </w:pBdr>
        <w:tabs>
          <w:tab w:val="clear" w:pos="360"/>
        </w:tabs>
        <w:ind w:left="360"/>
        <w:rPr>
          <w:rFonts w:ascii="Arial" w:hAnsi="Arial"/>
        </w:rPr>
      </w:pPr>
      <w:r>
        <w:rPr>
          <w:rFonts w:ascii="Arial" w:hAnsi="Arial"/>
        </w:rPr>
        <w:t>Provide the names of each person who will have access to Nasdaq workstations or such equipment. (The firm’s Written Supervisory Procedures must include procedures on securing such equipment and its use from unauthorized persons. These procedures are located on pages ___________</w:t>
      </w:r>
      <w:r>
        <w:rPr>
          <w:rFonts w:ascii="Arial" w:hAnsi="Arial"/>
        </w:rPr>
        <w:t xml:space="preserve">_____ of the firm’s WSPs.) </w:t>
      </w: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rPr>
      </w:pP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b/>
          <w:smallCaps/>
        </w:rPr>
      </w:pPr>
      <w:r>
        <w:rPr>
          <w:rFonts w:ascii="Arial" w:hAnsi="Arial"/>
          <w:b/>
          <w:smallCaps/>
        </w:rPr>
        <w:t>Trading and Financial Personnel</w:t>
      </w:r>
    </w:p>
    <w:p w:rsidR="00000000" w:rsidRDefault="00736DAA" w:rsidP="005A4F49">
      <w:pPr>
        <w:pStyle w:val="ListBullet"/>
        <w:widowControl/>
        <w:numPr>
          <w:ilvl w:val="0"/>
          <w:numId w:val="6"/>
        </w:numPr>
        <w:pBdr>
          <w:bottom w:val="none" w:sz="0" w:space="0" w:color="auto"/>
        </w:pBdr>
        <w:tabs>
          <w:tab w:val="clear" w:pos="360"/>
        </w:tabs>
        <w:rPr>
          <w:rFonts w:ascii="Arial" w:hAnsi="Arial"/>
          <w:sz w:val="26"/>
        </w:rPr>
      </w:pPr>
      <w:r>
        <w:rPr>
          <w:rFonts w:ascii="Arial" w:hAnsi="Arial"/>
          <w:b/>
          <w:i/>
        </w:rPr>
        <w:t>Head Trader</w:t>
      </w:r>
    </w:p>
    <w:p w:rsidR="00000000" w:rsidRDefault="00736DAA" w:rsidP="005A4F49">
      <w:pPr>
        <w:pStyle w:val="ListBullet"/>
        <w:widowControl/>
        <w:numPr>
          <w:ilvl w:val="0"/>
          <w:numId w:val="0"/>
        </w:numPr>
        <w:pBdr>
          <w:bottom w:val="none" w:sz="0" w:space="0" w:color="auto"/>
        </w:pBdr>
        <w:tabs>
          <w:tab w:val="clear" w:pos="360"/>
        </w:tabs>
        <w:ind w:left="360"/>
        <w:rPr>
          <w:rFonts w:ascii="Arial" w:hAnsi="Arial"/>
        </w:rPr>
      </w:pPr>
      <w:r>
        <w:rPr>
          <w:rFonts w:ascii="Arial" w:hAnsi="Arial"/>
        </w:rPr>
        <w:t>Provide the CRD number, name, and a detailed description of the prior work experience, including any supervisory experience (as it relates to the proposed market making/principal trading activities) of the Principal(s) who will be designated to supervise the proposed market making/principal trading activities (the “Head Trader”). The description of experience should detail the Head Trader’s prior supervisory experience in market making</w:t>
      </w:r>
      <w:r>
        <w:rPr>
          <w:rFonts w:ascii="Arial" w:hAnsi="Arial"/>
        </w:rPr>
        <w:t xml:space="preserve">/principal trading, including: </w:t>
      </w:r>
    </w:p>
    <w:p w:rsidR="00000000" w:rsidRDefault="00736DAA" w:rsidP="005A4F49">
      <w:pPr>
        <w:pStyle w:val="ListBullet"/>
        <w:widowControl/>
        <w:numPr>
          <w:ilvl w:val="0"/>
          <w:numId w:val="7"/>
        </w:numPr>
        <w:pBdr>
          <w:bottom w:val="none" w:sz="0" w:space="0" w:color="auto"/>
        </w:pBdr>
        <w:tabs>
          <w:tab w:val="clear" w:pos="360"/>
        </w:tabs>
        <w:rPr>
          <w:rFonts w:ascii="Arial" w:hAnsi="Arial"/>
          <w:sz w:val="26"/>
        </w:rPr>
      </w:pPr>
      <w:r>
        <w:rPr>
          <w:rFonts w:ascii="Arial" w:hAnsi="Arial"/>
        </w:rPr>
        <w:t xml:space="preserve">Examination qualifications; </w:t>
      </w:r>
    </w:p>
    <w:p w:rsidR="00000000" w:rsidRDefault="00736DAA" w:rsidP="005A4F49">
      <w:pPr>
        <w:pStyle w:val="ListBullet"/>
        <w:widowControl/>
        <w:numPr>
          <w:ilvl w:val="0"/>
          <w:numId w:val="7"/>
        </w:numPr>
        <w:pBdr>
          <w:bottom w:val="none" w:sz="0" w:space="0" w:color="auto"/>
        </w:pBdr>
        <w:tabs>
          <w:tab w:val="clear" w:pos="360"/>
        </w:tabs>
        <w:rPr>
          <w:rFonts w:ascii="Arial" w:hAnsi="Arial"/>
          <w:sz w:val="26"/>
        </w:rPr>
      </w:pPr>
      <w:r>
        <w:rPr>
          <w:rFonts w:ascii="Arial" w:hAnsi="Arial"/>
        </w:rPr>
        <w:t>Number of years of experience supervising market making and/or principal trading activities;</w:t>
      </w:r>
    </w:p>
    <w:p w:rsidR="00000000" w:rsidRDefault="00736DAA" w:rsidP="005A4F49">
      <w:pPr>
        <w:pStyle w:val="ListBullet"/>
        <w:widowControl/>
        <w:numPr>
          <w:ilvl w:val="0"/>
          <w:numId w:val="7"/>
        </w:numPr>
        <w:pBdr>
          <w:bottom w:val="none" w:sz="0" w:space="0" w:color="auto"/>
        </w:pBdr>
        <w:tabs>
          <w:tab w:val="clear" w:pos="360"/>
        </w:tabs>
        <w:rPr>
          <w:rFonts w:ascii="Arial" w:hAnsi="Arial"/>
          <w:sz w:val="26"/>
        </w:rPr>
      </w:pPr>
      <w:r>
        <w:rPr>
          <w:rFonts w:ascii="Arial" w:hAnsi="Arial"/>
        </w:rPr>
        <w:t xml:space="preserve">The average and maximum daily number of traders supervised; and </w:t>
      </w:r>
    </w:p>
    <w:p w:rsidR="00000000" w:rsidRDefault="00736DAA" w:rsidP="005A4F49">
      <w:pPr>
        <w:pStyle w:val="ListBullet"/>
        <w:widowControl/>
        <w:numPr>
          <w:ilvl w:val="0"/>
          <w:numId w:val="7"/>
        </w:numPr>
        <w:pBdr>
          <w:bottom w:val="none" w:sz="0" w:space="0" w:color="auto"/>
        </w:pBdr>
        <w:tabs>
          <w:tab w:val="clear" w:pos="360"/>
        </w:tabs>
        <w:rPr>
          <w:rFonts w:ascii="Arial" w:hAnsi="Arial"/>
          <w:sz w:val="26"/>
        </w:rPr>
      </w:pPr>
      <w:r>
        <w:rPr>
          <w:rFonts w:ascii="Arial" w:hAnsi="Arial"/>
        </w:rPr>
        <w:t xml:space="preserve">The average and maximum daily number of securities traded or markets made, in aggregate, by the subject individual and the traders he/she supervised. </w:t>
      </w:r>
    </w:p>
    <w:p w:rsidR="00000000" w:rsidRDefault="00736DAA" w:rsidP="005A4F49">
      <w:pPr>
        <w:pStyle w:val="ListBullet"/>
        <w:widowControl/>
        <w:numPr>
          <w:ilvl w:val="0"/>
          <w:numId w:val="7"/>
        </w:numPr>
        <w:pBdr>
          <w:bottom w:val="none" w:sz="0" w:space="0" w:color="auto"/>
        </w:pBdr>
        <w:tabs>
          <w:tab w:val="clear" w:pos="360"/>
        </w:tabs>
        <w:rPr>
          <w:rFonts w:ascii="Arial" w:hAnsi="Arial"/>
          <w:sz w:val="26"/>
        </w:rPr>
      </w:pPr>
      <w:r>
        <w:rPr>
          <w:rFonts w:ascii="Arial" w:hAnsi="Arial"/>
        </w:rPr>
        <w:t>The description of experience should also state where such experience was obtained, the time periods involved, positions held and responsibili</w:t>
      </w:r>
      <w:r>
        <w:rPr>
          <w:rFonts w:ascii="Arial" w:hAnsi="Arial"/>
        </w:rPr>
        <w:t xml:space="preserve">ties, and to whom this individual(s) reported to at any such prior firms.  </w:t>
      </w: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sz w:val="26"/>
        </w:rPr>
      </w:pPr>
    </w:p>
    <w:p w:rsidR="00000000" w:rsidRDefault="00736DAA" w:rsidP="005A4F49">
      <w:pPr>
        <w:pStyle w:val="ListBullet"/>
        <w:widowControl/>
        <w:numPr>
          <w:ilvl w:val="0"/>
          <w:numId w:val="8"/>
        </w:numPr>
        <w:pBdr>
          <w:bottom w:val="none" w:sz="0" w:space="0" w:color="auto"/>
        </w:pBdr>
        <w:tabs>
          <w:tab w:val="clear" w:pos="360"/>
        </w:tabs>
        <w:rPr>
          <w:rFonts w:ascii="Arial" w:hAnsi="Arial"/>
          <w:u w:val="single"/>
        </w:rPr>
      </w:pPr>
      <w:r>
        <w:rPr>
          <w:rFonts w:ascii="Arial" w:hAnsi="Arial"/>
          <w:b/>
          <w:i/>
        </w:rPr>
        <w:t>Other Traders</w:t>
      </w:r>
    </w:p>
    <w:p w:rsidR="00000000" w:rsidRDefault="00736DAA" w:rsidP="005A4F49">
      <w:pPr>
        <w:pStyle w:val="ListBullet"/>
        <w:widowControl/>
        <w:numPr>
          <w:ilvl w:val="0"/>
          <w:numId w:val="0"/>
        </w:numPr>
        <w:pBdr>
          <w:bottom w:val="none" w:sz="0" w:space="0" w:color="auto"/>
        </w:pBdr>
        <w:tabs>
          <w:tab w:val="clear" w:pos="360"/>
        </w:tabs>
        <w:ind w:left="360"/>
        <w:rPr>
          <w:rFonts w:ascii="Arial" w:hAnsi="Arial"/>
        </w:rPr>
      </w:pPr>
      <w:r>
        <w:rPr>
          <w:rFonts w:ascii="Arial" w:hAnsi="Arial"/>
        </w:rPr>
        <w:t xml:space="preserve">For all traders other than the Head Trader provide a detailed description of their prior market making/principal trading experience, as requested in question 1 above. </w:t>
      </w:r>
    </w:p>
    <w:p w:rsidR="00000000" w:rsidRDefault="00736DAA" w:rsidP="005A4F49">
      <w:pPr>
        <w:pStyle w:val="ListBullet"/>
        <w:widowControl/>
        <w:numPr>
          <w:ilvl w:val="12"/>
          <w:numId w:val="0"/>
        </w:numPr>
        <w:pBdr>
          <w:bottom w:val="none" w:sz="0" w:space="0" w:color="auto"/>
        </w:pBdr>
        <w:tabs>
          <w:tab w:val="clear" w:pos="360"/>
        </w:tabs>
        <w:rPr>
          <w:rFonts w:ascii="Arial" w:hAnsi="Arial"/>
          <w:sz w:val="26"/>
        </w:rPr>
      </w:pPr>
    </w:p>
    <w:p w:rsidR="00000000" w:rsidRDefault="00736DAA" w:rsidP="005A4F49">
      <w:pPr>
        <w:pStyle w:val="ListBullet"/>
        <w:widowControl/>
        <w:numPr>
          <w:ilvl w:val="0"/>
          <w:numId w:val="9"/>
        </w:numPr>
        <w:pBdr>
          <w:bottom w:val="none" w:sz="0" w:space="0" w:color="auto"/>
        </w:pBdr>
        <w:tabs>
          <w:tab w:val="clear" w:pos="360"/>
        </w:tabs>
        <w:rPr>
          <w:rFonts w:ascii="Arial" w:hAnsi="Arial"/>
          <w:b/>
          <w:i/>
        </w:rPr>
      </w:pPr>
      <w:r>
        <w:rPr>
          <w:rFonts w:ascii="Arial" w:hAnsi="Arial"/>
          <w:b/>
          <w:i/>
        </w:rPr>
        <w:t xml:space="preserve">Financial and Operations Principal </w:t>
      </w:r>
    </w:p>
    <w:p w:rsidR="00000000" w:rsidRDefault="00736DAA" w:rsidP="005A4F49">
      <w:pPr>
        <w:pStyle w:val="ListBullet"/>
        <w:widowControl/>
        <w:numPr>
          <w:ilvl w:val="0"/>
          <w:numId w:val="0"/>
        </w:numPr>
        <w:pBdr>
          <w:bottom w:val="none" w:sz="0" w:space="0" w:color="auto"/>
        </w:pBdr>
        <w:tabs>
          <w:tab w:val="clear" w:pos="360"/>
        </w:tabs>
        <w:ind w:left="360"/>
        <w:rPr>
          <w:rFonts w:ascii="Arial" w:hAnsi="Arial"/>
        </w:rPr>
      </w:pPr>
      <w:r>
        <w:rPr>
          <w:rFonts w:ascii="Arial" w:hAnsi="Arial"/>
        </w:rPr>
        <w:t>Provide the name, CRD number (or Social Security number) of the firm’s Financial and Operations Principal (FINOP), and a description of his or her prior work experience as it relates to the review of financial/operat</w:t>
      </w:r>
      <w:r>
        <w:rPr>
          <w:rFonts w:ascii="Arial" w:hAnsi="Arial"/>
        </w:rPr>
        <w:t xml:space="preserve">ional issues relevant to market making or principal trading activities and the names of the broker/dealers at which he or she acquired such experience. Also identify to whom this individual(s) reported at any such prior firms. </w:t>
      </w: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b/>
          <w:smallCaps/>
        </w:rPr>
      </w:pP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rPr>
      </w:pPr>
      <w:r>
        <w:rPr>
          <w:rFonts w:ascii="Arial" w:hAnsi="Arial"/>
          <w:b/>
          <w:smallCaps/>
        </w:rPr>
        <w:br w:type="page"/>
      </w:r>
      <w:r>
        <w:rPr>
          <w:rFonts w:ascii="Arial" w:hAnsi="Arial"/>
          <w:b/>
          <w:smallCaps/>
        </w:rPr>
        <w:lastRenderedPageBreak/>
        <w:t>Order Execution Process</w:t>
      </w:r>
      <w:r>
        <w:rPr>
          <w:rFonts w:ascii="Arial" w:hAnsi="Arial"/>
        </w:rPr>
        <w:t xml:space="preserve"> </w:t>
      </w: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rPr>
      </w:pPr>
    </w:p>
    <w:p w:rsidR="00000000" w:rsidRDefault="00736DAA" w:rsidP="005A4F49">
      <w:pPr>
        <w:pStyle w:val="ListBullet"/>
        <w:widowControl/>
        <w:numPr>
          <w:ilvl w:val="0"/>
          <w:numId w:val="10"/>
        </w:numPr>
        <w:pBdr>
          <w:bottom w:val="none" w:sz="0" w:space="0" w:color="auto"/>
        </w:pBdr>
        <w:tabs>
          <w:tab w:val="clear" w:pos="360"/>
        </w:tabs>
        <w:rPr>
          <w:rFonts w:ascii="Arial" w:hAnsi="Arial"/>
        </w:rPr>
      </w:pPr>
      <w:r>
        <w:rPr>
          <w:rFonts w:ascii="Arial" w:hAnsi="Arial"/>
        </w:rPr>
        <w:t>Describe the firm’s order execution process, including the reporting of transactions pursuant to NASD rules. Note: The firm’s WSPs must include procedures pertaining to order execution activities, including best execution, and transaction reporting respons</w:t>
      </w:r>
      <w:r>
        <w:rPr>
          <w:rFonts w:ascii="Arial" w:hAnsi="Arial"/>
        </w:rPr>
        <w:t xml:space="preserve">ibilities. </w:t>
      </w:r>
    </w:p>
    <w:p w:rsidR="00000000" w:rsidRDefault="00736DAA" w:rsidP="005A4F49">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736DAA" w:rsidP="005A4F49">
      <w:pPr>
        <w:pStyle w:val="ListBullet"/>
        <w:widowControl/>
        <w:numPr>
          <w:ilvl w:val="0"/>
          <w:numId w:val="10"/>
        </w:numPr>
        <w:pBdr>
          <w:bottom w:val="none" w:sz="0" w:space="0" w:color="auto"/>
        </w:pBdr>
        <w:tabs>
          <w:tab w:val="clear" w:pos="360"/>
        </w:tabs>
        <w:rPr>
          <w:rFonts w:ascii="Arial" w:hAnsi="Arial"/>
        </w:rPr>
      </w:pPr>
      <w:r>
        <w:rPr>
          <w:rFonts w:ascii="Arial" w:hAnsi="Arial"/>
        </w:rPr>
        <w:t>Provide a detailed description of all execution service and/or payment-for-order-flow arrangements anticipated between the firm and other broker/dealers, floor traders, etc.</w:t>
      </w:r>
    </w:p>
    <w:p w:rsidR="00000000" w:rsidRDefault="00736DAA" w:rsidP="005A4F49">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736DAA" w:rsidP="005A4F49">
      <w:pPr>
        <w:pStyle w:val="ListBullet"/>
        <w:widowControl/>
        <w:numPr>
          <w:ilvl w:val="0"/>
          <w:numId w:val="10"/>
        </w:numPr>
        <w:pBdr>
          <w:bottom w:val="none" w:sz="0" w:space="0" w:color="auto"/>
        </w:pBdr>
        <w:tabs>
          <w:tab w:val="clear" w:pos="360"/>
        </w:tabs>
        <w:rPr>
          <w:rFonts w:ascii="Arial" w:hAnsi="Arial"/>
        </w:rPr>
      </w:pPr>
      <w:r>
        <w:rPr>
          <w:rFonts w:ascii="Arial" w:hAnsi="Arial"/>
        </w:rPr>
        <w:t xml:space="preserve">Describe how the firm intends to address the issues set forth in </w:t>
      </w:r>
      <w:r>
        <w:rPr>
          <w:rFonts w:ascii="Arial" w:hAnsi="Arial"/>
          <w:i/>
        </w:rPr>
        <w:t>Notice to Members  99-12</w:t>
      </w:r>
      <w:r>
        <w:rPr>
          <w:rFonts w:ascii="Arial" w:hAnsi="Arial"/>
        </w:rPr>
        <w:t xml:space="preserve"> relative to trading and market making in securities subject to high volatility (such as Internet-based stocks). </w:t>
      </w:r>
    </w:p>
    <w:p w:rsidR="00000000" w:rsidRDefault="00736DAA" w:rsidP="005A4F49">
      <w:pPr>
        <w:pStyle w:val="ListBullet"/>
        <w:widowControl/>
        <w:numPr>
          <w:ilvl w:val="0"/>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rPr>
      </w:pPr>
      <w:r>
        <w:rPr>
          <w:rFonts w:ascii="Arial" w:hAnsi="Arial"/>
          <w:b/>
          <w:smallCaps/>
        </w:rPr>
        <w:br w:type="page"/>
      </w:r>
      <w:r>
        <w:rPr>
          <w:rFonts w:ascii="Arial" w:hAnsi="Arial"/>
          <w:b/>
          <w:smallCaps/>
        </w:rPr>
        <w:lastRenderedPageBreak/>
        <w:t>Written Supervisory Procedures - Special Reminders</w:t>
      </w:r>
    </w:p>
    <w:p w:rsidR="00000000" w:rsidRDefault="00736DAA" w:rsidP="005A4F49">
      <w:pPr>
        <w:pStyle w:val="ListBullet"/>
        <w:widowControl/>
        <w:numPr>
          <w:ilvl w:val="0"/>
          <w:numId w:val="0"/>
        </w:numPr>
        <w:pBdr>
          <w:bottom w:val="none" w:sz="0" w:space="0" w:color="auto"/>
        </w:pBdr>
        <w:tabs>
          <w:tab w:val="clear" w:pos="360"/>
        </w:tabs>
        <w:ind w:left="360" w:hanging="360"/>
        <w:rPr>
          <w:rFonts w:ascii="Arial" w:hAnsi="Arial"/>
        </w:rPr>
      </w:pPr>
    </w:p>
    <w:p w:rsidR="00000000" w:rsidRDefault="00736DAA" w:rsidP="005A4F49">
      <w:pPr>
        <w:pStyle w:val="ListBullet"/>
        <w:widowControl/>
        <w:numPr>
          <w:ilvl w:val="0"/>
          <w:numId w:val="11"/>
        </w:numPr>
        <w:pBdr>
          <w:bottom w:val="none" w:sz="0" w:space="0" w:color="auto"/>
        </w:pBdr>
        <w:tabs>
          <w:tab w:val="clear" w:pos="360"/>
        </w:tabs>
        <w:rPr>
          <w:rFonts w:ascii="Arial" w:hAnsi="Arial"/>
        </w:rPr>
      </w:pPr>
      <w:r>
        <w:rPr>
          <w:rFonts w:ascii="Arial" w:hAnsi="Arial"/>
          <w:b/>
          <w:i/>
        </w:rPr>
        <w:t>NASD Conduct Rules</w:t>
      </w:r>
    </w:p>
    <w:p w:rsidR="00000000" w:rsidRDefault="00736DAA" w:rsidP="005A4F49">
      <w:pPr>
        <w:pStyle w:val="ListBullet"/>
        <w:widowControl/>
        <w:numPr>
          <w:ilvl w:val="0"/>
          <w:numId w:val="0"/>
        </w:numPr>
        <w:pBdr>
          <w:bottom w:val="none" w:sz="0" w:space="0" w:color="auto"/>
        </w:pBdr>
        <w:tabs>
          <w:tab w:val="clear" w:pos="360"/>
        </w:tabs>
        <w:ind w:left="270"/>
        <w:rPr>
          <w:rFonts w:ascii="Arial" w:hAnsi="Arial"/>
        </w:rPr>
      </w:pPr>
      <w:r>
        <w:rPr>
          <w:rFonts w:ascii="Arial" w:hAnsi="Arial"/>
        </w:rPr>
        <w:t>The firm’s WSPs pertaining to the supervision of</w:t>
      </w:r>
      <w:r>
        <w:rPr>
          <w:rFonts w:ascii="Arial" w:hAnsi="Arial"/>
        </w:rPr>
        <w:t xml:space="preserve"> the firm’s intended market making and/or principal trading activities should include, but not be limited to the following matters:</w:t>
      </w:r>
    </w:p>
    <w:p w:rsidR="00000000" w:rsidRDefault="00736DAA" w:rsidP="005A4F49">
      <w:pPr>
        <w:pStyle w:val="List2"/>
        <w:widowControl/>
        <w:numPr>
          <w:ilvl w:val="0"/>
          <w:numId w:val="12"/>
        </w:numPr>
        <w:rPr>
          <w:rFonts w:ascii="Arial" w:hAnsi="Arial"/>
        </w:rPr>
      </w:pPr>
      <w:r>
        <w:rPr>
          <w:rFonts w:ascii="Arial" w:hAnsi="Arial"/>
        </w:rPr>
        <w:t>Nasdaq short interest reporting procedures pursuant to NASD Rules 3360 and 3350;</w:t>
      </w:r>
    </w:p>
    <w:p w:rsidR="00000000" w:rsidRDefault="00736DAA" w:rsidP="005A4F49">
      <w:pPr>
        <w:pStyle w:val="List2"/>
        <w:widowControl/>
        <w:numPr>
          <w:ilvl w:val="0"/>
          <w:numId w:val="12"/>
        </w:numPr>
        <w:rPr>
          <w:rFonts w:ascii="Arial" w:hAnsi="Arial"/>
        </w:rPr>
      </w:pPr>
      <w:r>
        <w:rPr>
          <w:rFonts w:ascii="Arial" w:hAnsi="Arial"/>
        </w:rPr>
        <w:t>Short sale procedures pursuant to SEC Rule 10a-1;</w:t>
      </w:r>
    </w:p>
    <w:p w:rsidR="00000000" w:rsidRDefault="00736DAA" w:rsidP="005A4F49">
      <w:pPr>
        <w:pStyle w:val="List2"/>
        <w:widowControl/>
        <w:numPr>
          <w:ilvl w:val="0"/>
          <w:numId w:val="12"/>
        </w:numPr>
        <w:rPr>
          <w:rFonts w:ascii="Arial" w:hAnsi="Arial"/>
        </w:rPr>
      </w:pPr>
      <w:r>
        <w:rPr>
          <w:rFonts w:ascii="Arial" w:hAnsi="Arial"/>
        </w:rPr>
        <w:t>ACT requirements of trade information to be input in regard to short sales pursuant to NASD Rule 6130;</w:t>
      </w:r>
    </w:p>
    <w:p w:rsidR="00000000" w:rsidRDefault="00736DAA" w:rsidP="005A4F49">
      <w:pPr>
        <w:pStyle w:val="List2"/>
        <w:widowControl/>
        <w:numPr>
          <w:ilvl w:val="0"/>
          <w:numId w:val="12"/>
        </w:numPr>
        <w:rPr>
          <w:rFonts w:ascii="Arial" w:hAnsi="Arial"/>
        </w:rPr>
      </w:pPr>
      <w:r>
        <w:rPr>
          <w:rFonts w:ascii="Arial" w:hAnsi="Arial"/>
        </w:rPr>
        <w:t>Mandatory close-out for short sales pursuant to NASD Rule 11830;</w:t>
      </w:r>
    </w:p>
    <w:p w:rsidR="00000000" w:rsidRDefault="00736DAA" w:rsidP="005A4F49">
      <w:pPr>
        <w:pStyle w:val="List2"/>
        <w:widowControl/>
        <w:numPr>
          <w:ilvl w:val="0"/>
          <w:numId w:val="12"/>
        </w:numPr>
        <w:rPr>
          <w:rFonts w:ascii="Arial" w:hAnsi="Arial"/>
        </w:rPr>
      </w:pPr>
      <w:r>
        <w:rPr>
          <w:rFonts w:ascii="Arial" w:hAnsi="Arial"/>
        </w:rPr>
        <w:t>Affirmative Determination pursuant to NASD Rule 3370; and</w:t>
      </w:r>
    </w:p>
    <w:p w:rsidR="00000000" w:rsidRDefault="00736DAA" w:rsidP="005A4F49">
      <w:pPr>
        <w:pStyle w:val="List2"/>
        <w:widowControl/>
        <w:numPr>
          <w:ilvl w:val="0"/>
          <w:numId w:val="12"/>
        </w:numPr>
        <w:rPr>
          <w:rFonts w:ascii="Arial" w:hAnsi="Arial"/>
        </w:rPr>
      </w:pPr>
      <w:r>
        <w:rPr>
          <w:rFonts w:ascii="Arial" w:hAnsi="Arial"/>
        </w:rPr>
        <w:t>NASD Rules 4000-7000 as</w:t>
      </w:r>
      <w:r>
        <w:rPr>
          <w:rFonts w:ascii="Arial" w:hAnsi="Arial"/>
        </w:rPr>
        <w:t xml:space="preserve"> applicable. </w:t>
      </w:r>
    </w:p>
    <w:p w:rsidR="00000000" w:rsidRDefault="00736DAA" w:rsidP="005A4F49">
      <w:pPr>
        <w:pStyle w:val="ListBullet"/>
        <w:widowControl/>
        <w:numPr>
          <w:ilvl w:val="12"/>
          <w:numId w:val="0"/>
        </w:numPr>
        <w:pBdr>
          <w:bottom w:val="none" w:sz="0" w:space="0" w:color="auto"/>
        </w:pBdr>
        <w:tabs>
          <w:tab w:val="clear" w:pos="360"/>
        </w:tabs>
        <w:rPr>
          <w:rFonts w:ascii="Arial" w:hAnsi="Arial"/>
        </w:rPr>
      </w:pPr>
    </w:p>
    <w:p w:rsidR="00000000" w:rsidRDefault="00736DAA" w:rsidP="005A4F49">
      <w:pPr>
        <w:pStyle w:val="ListBullet"/>
        <w:widowControl/>
        <w:numPr>
          <w:ilvl w:val="0"/>
          <w:numId w:val="13"/>
        </w:numPr>
        <w:pBdr>
          <w:bottom w:val="none" w:sz="0" w:space="0" w:color="auto"/>
        </w:pBdr>
        <w:tabs>
          <w:tab w:val="clear" w:pos="360"/>
        </w:tabs>
        <w:rPr>
          <w:rFonts w:ascii="Arial" w:hAnsi="Arial"/>
        </w:rPr>
      </w:pPr>
      <w:r>
        <w:rPr>
          <w:rFonts w:ascii="Arial" w:hAnsi="Arial"/>
          <w:b/>
          <w:i/>
        </w:rPr>
        <w:t>Compliance With The SEC’s 21(a) Report</w:t>
      </w:r>
    </w:p>
    <w:p w:rsidR="00000000" w:rsidRDefault="00736DAA" w:rsidP="005A4F49">
      <w:pPr>
        <w:pStyle w:val="ListBullet"/>
        <w:widowControl/>
        <w:numPr>
          <w:ilvl w:val="0"/>
          <w:numId w:val="0"/>
        </w:numPr>
        <w:pBdr>
          <w:bottom w:val="none" w:sz="0" w:space="0" w:color="auto"/>
        </w:pBdr>
        <w:tabs>
          <w:tab w:val="clear" w:pos="360"/>
        </w:tabs>
        <w:ind w:left="360"/>
        <w:rPr>
          <w:rFonts w:ascii="Arial" w:hAnsi="Arial"/>
        </w:rPr>
      </w:pPr>
      <w:r>
        <w:rPr>
          <w:rFonts w:ascii="Arial" w:hAnsi="Arial"/>
        </w:rPr>
        <w:t>Pursuant to the SEC’s “Nasdaq Stock Market Report of Investigation” issued pursuant to Section 21(a) of the Securities Exchange Act of 1934 (the “21(a) Report”), all current and proposed market-making firms must provide a written description of all policies, practices, and procedures adopted (or proposed) that address the issues referenced in the 21(a) Report. Each of the following items should be addressed:</w:t>
      </w:r>
    </w:p>
    <w:p w:rsidR="00000000" w:rsidRDefault="00736DAA" w:rsidP="005A4F49">
      <w:pPr>
        <w:pStyle w:val="ListBullet"/>
        <w:widowControl/>
        <w:numPr>
          <w:ilvl w:val="0"/>
          <w:numId w:val="0"/>
        </w:numPr>
        <w:pBdr>
          <w:bottom w:val="none" w:sz="0" w:space="0" w:color="auto"/>
        </w:pBdr>
        <w:tabs>
          <w:tab w:val="clear" w:pos="360"/>
        </w:tabs>
        <w:ind w:left="720"/>
        <w:rPr>
          <w:rFonts w:ascii="Arial" w:hAnsi="Arial"/>
        </w:rPr>
      </w:pPr>
    </w:p>
    <w:p w:rsidR="00000000" w:rsidRDefault="00736DAA" w:rsidP="005A4F49">
      <w:pPr>
        <w:pStyle w:val="ListBullet"/>
        <w:widowControl/>
        <w:numPr>
          <w:ilvl w:val="0"/>
          <w:numId w:val="14"/>
        </w:numPr>
        <w:pBdr>
          <w:bottom w:val="none" w:sz="0" w:space="0" w:color="auto"/>
        </w:pBdr>
        <w:tabs>
          <w:tab w:val="clear" w:pos="360"/>
        </w:tabs>
        <w:rPr>
          <w:rFonts w:ascii="Arial" w:hAnsi="Arial"/>
        </w:rPr>
      </w:pPr>
      <w:r>
        <w:rPr>
          <w:rFonts w:ascii="Arial" w:hAnsi="Arial"/>
        </w:rPr>
        <w:t>a.</w:t>
      </w:r>
      <w:r>
        <w:rPr>
          <w:rFonts w:ascii="Arial" w:hAnsi="Arial"/>
        </w:rPr>
        <w:tab/>
        <w:t>pricing conventions;</w:t>
      </w:r>
    </w:p>
    <w:p w:rsidR="00000000" w:rsidRDefault="00736DAA" w:rsidP="005A4F49">
      <w:pPr>
        <w:pStyle w:val="List2"/>
        <w:widowControl/>
        <w:numPr>
          <w:ilvl w:val="0"/>
          <w:numId w:val="14"/>
        </w:numPr>
        <w:rPr>
          <w:rFonts w:ascii="Arial" w:hAnsi="Arial"/>
        </w:rPr>
      </w:pPr>
      <w:r>
        <w:rPr>
          <w:rFonts w:ascii="Arial" w:hAnsi="Arial"/>
        </w:rPr>
        <w:t>size conventions;</w:t>
      </w:r>
    </w:p>
    <w:p w:rsidR="00000000" w:rsidRDefault="00736DAA" w:rsidP="005A4F49">
      <w:pPr>
        <w:pStyle w:val="List2"/>
        <w:widowControl/>
        <w:numPr>
          <w:ilvl w:val="0"/>
          <w:numId w:val="14"/>
        </w:numPr>
        <w:rPr>
          <w:rFonts w:ascii="Arial" w:hAnsi="Arial"/>
        </w:rPr>
      </w:pPr>
      <w:r>
        <w:rPr>
          <w:rFonts w:ascii="Arial" w:hAnsi="Arial"/>
        </w:rPr>
        <w:t>coo</w:t>
      </w:r>
      <w:r>
        <w:rPr>
          <w:rFonts w:ascii="Arial" w:hAnsi="Arial"/>
        </w:rPr>
        <w:t>rdination of quotations, trades, and trade reports;</w:t>
      </w:r>
    </w:p>
    <w:p w:rsidR="00000000" w:rsidRDefault="00736DAA" w:rsidP="005A4F49">
      <w:pPr>
        <w:pStyle w:val="List2"/>
        <w:widowControl/>
        <w:numPr>
          <w:ilvl w:val="0"/>
          <w:numId w:val="14"/>
        </w:numPr>
        <w:rPr>
          <w:rFonts w:ascii="Arial" w:hAnsi="Arial"/>
        </w:rPr>
      </w:pPr>
      <w:r>
        <w:rPr>
          <w:rFonts w:ascii="Arial" w:hAnsi="Arial"/>
        </w:rPr>
        <w:t>exchange of proprietary information;</w:t>
      </w:r>
    </w:p>
    <w:p w:rsidR="00000000" w:rsidRDefault="00736DAA" w:rsidP="005A4F49">
      <w:pPr>
        <w:pStyle w:val="List2"/>
        <w:widowControl/>
        <w:numPr>
          <w:ilvl w:val="0"/>
          <w:numId w:val="14"/>
        </w:numPr>
        <w:rPr>
          <w:rFonts w:ascii="Arial" w:hAnsi="Arial"/>
        </w:rPr>
      </w:pPr>
      <w:r>
        <w:rPr>
          <w:rFonts w:ascii="Arial" w:hAnsi="Arial"/>
        </w:rPr>
        <w:t>improper collaboration/coordination of market maker activities;</w:t>
      </w:r>
    </w:p>
    <w:p w:rsidR="00000000" w:rsidRDefault="00736DAA" w:rsidP="005A4F49">
      <w:pPr>
        <w:pStyle w:val="List2"/>
        <w:widowControl/>
        <w:numPr>
          <w:ilvl w:val="0"/>
          <w:numId w:val="14"/>
        </w:numPr>
        <w:rPr>
          <w:rFonts w:ascii="Arial" w:hAnsi="Arial"/>
        </w:rPr>
      </w:pPr>
      <w:r>
        <w:rPr>
          <w:rFonts w:ascii="Arial" w:hAnsi="Arial"/>
        </w:rPr>
        <w:t>failure to honor quotations;</w:t>
      </w:r>
    </w:p>
    <w:p w:rsidR="00000000" w:rsidRDefault="00736DAA" w:rsidP="005A4F49">
      <w:pPr>
        <w:pStyle w:val="List2"/>
        <w:widowControl/>
        <w:numPr>
          <w:ilvl w:val="0"/>
          <w:numId w:val="14"/>
        </w:numPr>
        <w:rPr>
          <w:rFonts w:ascii="Arial" w:hAnsi="Arial"/>
        </w:rPr>
      </w:pPr>
      <w:r>
        <w:rPr>
          <w:rFonts w:ascii="Arial" w:hAnsi="Arial"/>
        </w:rPr>
        <w:t>late and inaccurate trade reporting; and</w:t>
      </w:r>
    </w:p>
    <w:p w:rsidR="00736DAA" w:rsidRDefault="00736DAA" w:rsidP="005A4F49">
      <w:pPr>
        <w:pStyle w:val="List2"/>
        <w:widowControl/>
        <w:numPr>
          <w:ilvl w:val="0"/>
          <w:numId w:val="14"/>
        </w:numPr>
        <w:rPr>
          <w:rFonts w:ascii="Arial" w:hAnsi="Arial"/>
        </w:rPr>
      </w:pPr>
      <w:r>
        <w:rPr>
          <w:rFonts w:ascii="Arial" w:hAnsi="Arial"/>
        </w:rPr>
        <w:t>description of any training plans for traders and other relevant associated persons with regard to all of the above-referenced items.</w:t>
      </w:r>
    </w:p>
    <w:sectPr w:rsidR="00736DAA">
      <w:headerReference w:type="default" r:id="rId8"/>
      <w:footerReference w:type="even" r:id="rId9"/>
      <w:footerReference w:type="default" r:id="rId10"/>
      <w:endnotePr>
        <w:numFmt w:val="decimal"/>
      </w:endnotePr>
      <w:type w:val="continuous"/>
      <w:pgSz w:w="12240" w:h="15840"/>
      <w:pgMar w:top="72"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AA" w:rsidRDefault="00736DAA">
      <w:r>
        <w:separator/>
      </w:r>
    </w:p>
  </w:endnote>
  <w:endnote w:type="continuationSeparator" w:id="0">
    <w:p w:rsidR="00736DAA" w:rsidRDefault="0073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ino M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6DAA">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736DAA">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6DAA">
    <w:pPr>
      <w:pStyle w:val="Footer"/>
      <w:framePr w:wrap="auto" w:vAnchor="text" w:hAnchor="margin" w:xAlign="center" w:y="1"/>
      <w:widowControl/>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A4F49">
      <w:rPr>
        <w:rStyle w:val="PageNumber"/>
        <w:noProof/>
      </w:rPr>
      <w:t>1</w:t>
    </w:r>
    <w:r>
      <w:rPr>
        <w:rStyle w:val="PageNumber"/>
      </w:rPr>
      <w:fldChar w:fldCharType="end"/>
    </w:r>
  </w:p>
  <w:p w:rsidR="00000000" w:rsidRDefault="00736DAA">
    <w:pPr>
      <w:pStyle w:val="Footer"/>
      <w:widowControl/>
      <w:rPr>
        <w:b/>
      </w:rPr>
    </w:pPr>
    <w:r>
      <w:rPr>
        <w:b/>
      </w:rPr>
      <w:t>Version: 12-99</w:t>
    </w:r>
  </w:p>
  <w:p w:rsidR="00000000" w:rsidRDefault="00736DAA">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AA" w:rsidRDefault="00736DAA">
      <w:r>
        <w:separator/>
      </w:r>
    </w:p>
  </w:footnote>
  <w:footnote w:type="continuationSeparator" w:id="0">
    <w:p w:rsidR="00736DAA" w:rsidRDefault="00736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6DAA">
    <w:pPr>
      <w:pStyle w:val="Header"/>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22"/>
    <w:multiLevelType w:val="singleLevel"/>
    <w:tmpl w:val="F894F1FA"/>
    <w:lvl w:ilvl="0">
      <w:start w:val="3"/>
      <w:numFmt w:val="decimal"/>
      <w:lvlText w:val="%1."/>
      <w:legacy w:legacy="1" w:legacySpace="0" w:legacyIndent="360"/>
      <w:lvlJc w:val="left"/>
      <w:pPr>
        <w:ind w:left="360" w:hanging="360"/>
      </w:pPr>
      <w:rPr>
        <w:rFonts w:ascii="Arial" w:hAnsi="Arial" w:cs="Arial" w:hint="default"/>
        <w:b w:val="0"/>
        <w:i w:val="0"/>
        <w:sz w:val="24"/>
      </w:rPr>
    </w:lvl>
  </w:abstractNum>
  <w:abstractNum w:abstractNumId="1">
    <w:nsid w:val="08C64CC8"/>
    <w:multiLevelType w:val="singleLevel"/>
    <w:tmpl w:val="7B08670E"/>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2">
    <w:nsid w:val="0E90688A"/>
    <w:multiLevelType w:val="singleLevel"/>
    <w:tmpl w:val="7B08670E"/>
    <w:lvl w:ilvl="0">
      <w:start w:val="3"/>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3">
    <w:nsid w:val="1D67265B"/>
    <w:multiLevelType w:val="singleLevel"/>
    <w:tmpl w:val="78B64488"/>
    <w:lvl w:ilvl="0">
      <w:start w:val="1"/>
      <w:numFmt w:val="lowerLetter"/>
      <w:lvlText w:val="%1. "/>
      <w:legacy w:legacy="1" w:legacySpace="0" w:legacyIndent="360"/>
      <w:lvlJc w:val="left"/>
      <w:pPr>
        <w:ind w:left="2160" w:hanging="360"/>
      </w:pPr>
      <w:rPr>
        <w:rFonts w:ascii="Arial" w:hAnsi="Arial" w:cs="Arial" w:hint="default"/>
        <w:b w:val="0"/>
        <w:i w:val="0"/>
        <w:sz w:val="24"/>
        <w:u w:val="none"/>
      </w:rPr>
    </w:lvl>
  </w:abstractNum>
  <w:abstractNum w:abstractNumId="4">
    <w:nsid w:val="2E7B581F"/>
    <w:multiLevelType w:val="singleLevel"/>
    <w:tmpl w:val="C2606A0C"/>
    <w:lvl w:ilvl="0">
      <w:start w:val="1"/>
      <w:numFmt w:val="decimal"/>
      <w:lvlText w:val="%1."/>
      <w:legacy w:legacy="1" w:legacySpace="0" w:legacyIndent="360"/>
      <w:lvlJc w:val="left"/>
      <w:pPr>
        <w:ind w:left="360" w:hanging="360"/>
      </w:pPr>
      <w:rPr>
        <w:rFonts w:ascii="Arial" w:hAnsi="Arial" w:cs="Arial" w:hint="default"/>
        <w:b w:val="0"/>
        <w:i w:val="0"/>
        <w:sz w:val="24"/>
        <w:u w:val="none"/>
      </w:rPr>
    </w:lvl>
  </w:abstractNum>
  <w:abstractNum w:abstractNumId="5">
    <w:nsid w:val="551971E9"/>
    <w:multiLevelType w:val="singleLevel"/>
    <w:tmpl w:val="78B64488"/>
    <w:lvl w:ilvl="0">
      <w:start w:val="1"/>
      <w:numFmt w:val="lowerLetter"/>
      <w:lvlText w:val="%1. "/>
      <w:legacy w:legacy="1" w:legacySpace="0" w:legacyIndent="360"/>
      <w:lvlJc w:val="left"/>
      <w:pPr>
        <w:ind w:left="1800" w:hanging="360"/>
      </w:pPr>
      <w:rPr>
        <w:rFonts w:ascii="Arial" w:hAnsi="Arial" w:cs="Arial" w:hint="default"/>
        <w:b w:val="0"/>
        <w:i w:val="0"/>
        <w:sz w:val="24"/>
        <w:u w:val="none"/>
      </w:rPr>
    </w:lvl>
  </w:abstractNum>
  <w:abstractNum w:abstractNumId="6">
    <w:nsid w:val="56007FDF"/>
    <w:multiLevelType w:val="singleLevel"/>
    <w:tmpl w:val="B98A76D4"/>
    <w:lvl w:ilvl="0">
      <w:start w:val="2"/>
      <w:numFmt w:val="decimal"/>
      <w:lvlText w:val="%1."/>
      <w:legacy w:legacy="1" w:legacySpace="0" w:legacyIndent="360"/>
      <w:lvlJc w:val="left"/>
      <w:pPr>
        <w:ind w:left="360" w:hanging="360"/>
      </w:pPr>
      <w:rPr>
        <w:rFonts w:ascii="Arial" w:hAnsi="Arial" w:cs="Arial" w:hint="default"/>
        <w:b w:val="0"/>
        <w:i w:val="0"/>
        <w:sz w:val="24"/>
        <w:u w:val="none"/>
      </w:rPr>
    </w:lvl>
  </w:abstractNum>
  <w:abstractNum w:abstractNumId="7">
    <w:nsid w:val="65610684"/>
    <w:multiLevelType w:val="singleLevel"/>
    <w:tmpl w:val="B98A76D4"/>
    <w:lvl w:ilvl="0">
      <w:start w:val="2"/>
      <w:numFmt w:val="decimal"/>
      <w:lvlText w:val="%1."/>
      <w:legacy w:legacy="1" w:legacySpace="0" w:legacyIndent="360"/>
      <w:lvlJc w:val="left"/>
      <w:pPr>
        <w:ind w:left="360" w:hanging="360"/>
      </w:pPr>
      <w:rPr>
        <w:rFonts w:ascii="Arial" w:hAnsi="Arial" w:cs="Arial" w:hint="default"/>
        <w:b w:val="0"/>
        <w:i w:val="0"/>
        <w:sz w:val="24"/>
        <w:u w:val="none"/>
      </w:rPr>
    </w:lvl>
  </w:abstractNum>
  <w:abstractNum w:abstractNumId="8">
    <w:nsid w:val="66214066"/>
    <w:multiLevelType w:val="singleLevel"/>
    <w:tmpl w:val="7B08670E"/>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9">
    <w:nsid w:val="70CC2233"/>
    <w:multiLevelType w:val="singleLevel"/>
    <w:tmpl w:val="7B08670E"/>
    <w:lvl w:ilvl="0">
      <w:start w:val="1"/>
      <w:numFmt w:val="decimal"/>
      <w:lvlText w:val="%1. "/>
      <w:legacy w:legacy="1" w:legacySpace="0" w:legacyIndent="360"/>
      <w:lvlJc w:val="left"/>
      <w:pPr>
        <w:ind w:left="1800" w:hanging="360"/>
      </w:pPr>
      <w:rPr>
        <w:rFonts w:ascii="Arial" w:hAnsi="Arial" w:cs="Arial" w:hint="default"/>
        <w:b w:val="0"/>
        <w:i w:val="0"/>
        <w:sz w:val="24"/>
        <w:u w:val="none"/>
      </w:rPr>
    </w:lvl>
  </w:abstractNum>
  <w:abstractNum w:abstractNumId="10">
    <w:nsid w:val="7C25752D"/>
    <w:multiLevelType w:val="singleLevel"/>
    <w:tmpl w:val="3AEE2C70"/>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num w:numId="1">
    <w:abstractNumId w:val="10"/>
  </w:num>
  <w:num w:numId="2">
    <w:abstractNumId w:val="10"/>
    <w:lvlOverride w:ilvl="0">
      <w:lvl w:ilvl="0">
        <w:start w:val="2"/>
        <w:numFmt w:val="decimal"/>
        <w:lvlText w:val="%1. "/>
        <w:legacy w:legacy="1" w:legacySpace="0" w:legacyIndent="360"/>
        <w:lvlJc w:val="left"/>
        <w:pPr>
          <w:ind w:left="360" w:hanging="360"/>
        </w:pPr>
        <w:rPr>
          <w:rFonts w:ascii="Arial" w:hAnsi="Arial" w:cs="Arial" w:hint="default"/>
          <w:b w:val="0"/>
          <w:i w:val="0"/>
          <w:sz w:val="24"/>
          <w:u w:val="none"/>
        </w:rPr>
      </w:lvl>
    </w:lvlOverride>
  </w:num>
  <w:num w:numId="3">
    <w:abstractNumId w:val="2"/>
  </w:num>
  <w:num w:numId="4">
    <w:abstractNumId w:val="2"/>
    <w:lvlOverride w:ilvl="0">
      <w:lvl w:ilvl="0">
        <w:start w:val="4"/>
        <w:numFmt w:val="decimal"/>
        <w:lvlText w:val="%1. "/>
        <w:legacy w:legacy="1" w:legacySpace="0" w:legacyIndent="360"/>
        <w:lvlJc w:val="left"/>
        <w:pPr>
          <w:ind w:left="360" w:hanging="360"/>
        </w:pPr>
        <w:rPr>
          <w:rFonts w:ascii="Arial" w:hAnsi="Arial" w:cs="Arial" w:hint="default"/>
          <w:b w:val="0"/>
          <w:i w:val="0"/>
          <w:sz w:val="24"/>
          <w:u w:val="none"/>
        </w:rPr>
      </w:lvl>
    </w:lvlOverride>
  </w:num>
  <w:num w:numId="5">
    <w:abstractNumId w:val="2"/>
    <w:lvlOverride w:ilvl="0">
      <w:lvl w:ilvl="0">
        <w:start w:val="1"/>
        <w:numFmt w:val="decimal"/>
        <w:lvlText w:val="%1. "/>
        <w:legacy w:legacy="1" w:legacySpace="0" w:legacyIndent="360"/>
        <w:lvlJc w:val="left"/>
        <w:pPr>
          <w:ind w:left="360" w:hanging="360"/>
        </w:pPr>
        <w:rPr>
          <w:rFonts w:ascii="Arial" w:hAnsi="Arial" w:cs="Arial" w:hint="default"/>
          <w:b w:val="0"/>
          <w:i w:val="0"/>
          <w:sz w:val="24"/>
          <w:u w:val="none"/>
        </w:rPr>
      </w:lvl>
    </w:lvlOverride>
  </w:num>
  <w:num w:numId="6">
    <w:abstractNumId w:val="1"/>
  </w:num>
  <w:num w:numId="7">
    <w:abstractNumId w:val="3"/>
  </w:num>
  <w:num w:numId="8">
    <w:abstractNumId w:val="6"/>
  </w:num>
  <w:num w:numId="9">
    <w:abstractNumId w:val="0"/>
  </w:num>
  <w:num w:numId="10">
    <w:abstractNumId w:val="8"/>
  </w:num>
  <w:num w:numId="11">
    <w:abstractNumId w:val="4"/>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49"/>
    <w:rsid w:val="005A4F49"/>
    <w:rsid w:val="0073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ELECTRONIC COMMUNICATION NETWORKS (ECNs)</vt:lpstr>
    </vt:vector>
  </TitlesOfParts>
  <Company>NASD</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NETWORKS (ECNs)</dc:title>
  <dc:creator>Microsoft Office User</dc:creator>
  <cp:lastModifiedBy>Bruns, Don</cp:lastModifiedBy>
  <cp:revision>2</cp:revision>
  <cp:lastPrinted>2000-02-14T15:05:00Z</cp:lastPrinted>
  <dcterms:created xsi:type="dcterms:W3CDTF">2014-07-23T18:25:00Z</dcterms:created>
  <dcterms:modified xsi:type="dcterms:W3CDTF">2014-07-23T18:25:00Z</dcterms:modified>
</cp:coreProperties>
</file>